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olor w:val="auto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  <w:t>盱眙县2024年粮油规模种植主体单产提升项目实施主体生产过程记录表</w:t>
      </w:r>
    </w:p>
    <w:tbl>
      <w:tblPr>
        <w:tblStyle w:val="5"/>
        <w:tblW w:w="8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27"/>
        <w:gridCol w:w="2010"/>
        <w:gridCol w:w="1798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组织机构代码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负责人及联系电话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地块位置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实施面积（亩）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作物种类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品种名称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全程生产记录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日期</w:t>
            </w: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落实的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关键技术措施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经办人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14" w:right="1361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326E45E1"/>
    <w:rsid w:val="07F66489"/>
    <w:rsid w:val="26100092"/>
    <w:rsid w:val="326E45E1"/>
    <w:rsid w:val="33FA64B9"/>
    <w:rsid w:val="38E1643E"/>
    <w:rsid w:val="47A41240"/>
    <w:rsid w:val="56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7">
    <w:name w:val="Body text|1"/>
    <w:basedOn w:val="1"/>
    <w:autoRedefine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2024-09-24T02:40:00Z</dcterms:created>
  <dc:creator>WPS_1662510885</dc:creator>
  <cp:lastModifiedBy>WPS_1662510885</cp:lastModifiedBy>
  <dcterms:modified xsi:type="dcterms:W3CDTF">2024-09-24T02:41:06Z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6DBEE9F32942426EB8F366727E1AE1B1_11</vt:lpwstr>
  </property>
</Properties>
</file>