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盱眙县人力资源和社会保障局</w:t>
      </w:r>
      <w:r>
        <w:rPr>
          <w:rFonts w:hint="eastAsia"/>
          <w:sz w:val="28"/>
          <w:szCs w:val="28"/>
        </w:rPr>
        <w:t>开招聘编外工作人员进入面试人员名单</w:t>
      </w:r>
      <w:bookmarkEnd w:id="0"/>
    </w:p>
    <w:tbl>
      <w:tblPr>
        <w:tblStyle w:val="4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75"/>
        <w:gridCol w:w="2580"/>
        <w:gridCol w:w="136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技能测试成绩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成绩排名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202301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91.61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64.02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202322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63.02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202308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58.39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202306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53.97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202327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51.55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递补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00000000"/>
    <w:rsid w:val="10E551D6"/>
    <w:rsid w:val="1DEA155A"/>
    <w:rsid w:val="293B22C0"/>
    <w:rsid w:val="386A392E"/>
    <w:rsid w:val="39843232"/>
    <w:rsid w:val="4ADD1DA1"/>
    <w:rsid w:val="5DEB5F1F"/>
    <w:rsid w:val="66572932"/>
    <w:rsid w:val="764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131</Characters>
  <Lines>0</Lines>
  <Paragraphs>0</Paragraphs>
  <TotalTime>14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2023-04-06T08:31:00Z</dcterms:created>
  <dc:creator>Administrator</dc:creator>
  <cp:lastModifiedBy>17200</cp:lastModifiedBy>
  <dcterms:modified xsi:type="dcterms:W3CDTF">2023-04-07T01:42:21Z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9FB1FAFAD0744DE687A6FA76FCD9EAC2_13</vt:lpwstr>
  </property>
</Properties>
</file>