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spacing w:afterLines="0" w:line="520" w:lineRule="exact"/>
        <w:ind w:firstLine="0" w:firstLineChars="0"/>
        <w:jc w:val="center"/>
        <w:rPr>
          <w:rFonts w:ascii="宋体" w:hAnsi="宋体" w:cs="方正小标宋简体"/>
          <w:b/>
          <w:bCs/>
          <w:sz w:val="44"/>
          <w:szCs w:val="44"/>
        </w:rPr>
      </w:pPr>
      <w:r>
        <w:rPr>
          <w:rFonts w:hint="eastAsia" w:ascii="宋体" w:hAnsi="宋体" w:cs="方正小标宋简体"/>
          <w:b/>
          <w:bCs/>
          <w:sz w:val="44"/>
          <w:szCs w:val="44"/>
        </w:rPr>
        <w:t>盱眙县城市绿地系统规划（2019～2030）</w:t>
      </w:r>
    </w:p>
    <w:p>
      <w:pPr>
        <w:pStyle w:val="32"/>
        <w:spacing w:afterLines="0" w:line="520" w:lineRule="exact"/>
        <w:ind w:firstLine="0" w:firstLineChars="0"/>
        <w:jc w:val="center"/>
        <w:rPr>
          <w:rFonts w:ascii="宋体" w:hAnsi="宋体" w:cs="方正小标宋简体"/>
          <w:b/>
          <w:bCs/>
          <w:sz w:val="44"/>
          <w:szCs w:val="44"/>
        </w:rPr>
      </w:pPr>
      <w:r>
        <w:rPr>
          <w:rFonts w:hint="eastAsia" w:ascii="宋体" w:hAnsi="宋体" w:cs="方正小标宋简体"/>
          <w:b/>
          <w:bCs/>
          <w:sz w:val="44"/>
          <w:szCs w:val="44"/>
        </w:rPr>
        <w:t>批前公示</w:t>
      </w:r>
      <w:bookmarkStart w:id="0" w:name="_Toc69294816"/>
      <w:bookmarkStart w:id="1" w:name="_Toc489835172"/>
      <w:bookmarkStart w:id="2" w:name="_Toc509337143"/>
    </w:p>
    <w:p>
      <w:pPr>
        <w:pStyle w:val="32"/>
        <w:spacing w:afterLines="0" w:line="520" w:lineRule="exact"/>
        <w:ind w:firstLine="0" w:firstLineChars="0"/>
        <w:jc w:val="center"/>
        <w:rPr>
          <w:rFonts w:ascii="宋体" w:hAnsi="宋体" w:cs="方正小标宋简体"/>
          <w:b/>
          <w:bCs/>
          <w:sz w:val="44"/>
          <w:szCs w:val="44"/>
        </w:rPr>
      </w:pP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一</w:t>
      </w:r>
      <w:bookmarkEnd w:id="0"/>
      <w:bookmarkEnd w:id="1"/>
      <w:r>
        <w:rPr>
          <w:rFonts w:hint="eastAsia" w:ascii="仿宋" w:hAnsi="仿宋" w:eastAsia="仿宋"/>
          <w:b/>
          <w:sz w:val="32"/>
          <w:szCs w:val="32"/>
        </w:rPr>
        <w:t>、编制</w:t>
      </w:r>
      <w:r>
        <w:rPr>
          <w:rFonts w:ascii="仿宋" w:hAnsi="仿宋" w:eastAsia="仿宋"/>
          <w:b/>
          <w:sz w:val="32"/>
          <w:szCs w:val="32"/>
        </w:rPr>
        <w:t>目的</w:t>
      </w:r>
      <w:bookmarkEnd w:id="2"/>
    </w:p>
    <w:p>
      <w:pPr>
        <w:spacing w:line="360" w:lineRule="auto"/>
        <w:ind w:firstLine="560" w:firstLineChars="200"/>
        <w:rPr>
          <w:rFonts w:ascii="仿宋" w:hAnsi="仿宋" w:eastAsia="仿宋"/>
          <w:sz w:val="28"/>
          <w:szCs w:val="28"/>
        </w:rPr>
      </w:pPr>
      <w:r>
        <w:rPr>
          <w:rFonts w:hint="eastAsia" w:ascii="仿宋" w:hAnsi="仿宋" w:eastAsia="仿宋"/>
          <w:sz w:val="28"/>
          <w:szCs w:val="28"/>
        </w:rPr>
        <w:t>为适应盱眙县城市发展和城市现代化建设的需要，整合、优化城市绿地系统布局和结构,改善城区生态环境，美化城区景观，提高县城园林绿化建设和管理水平,建设幸福宜居的生态园林城区，促进城区可持续发展,切实可行的指导盱眙县绿地建设。盱眙县县委、县政府提出编制《盱眙县城市绿地系统规划》,为指导盱眙县绿地建设和管理提供技术及法定依据。</w:t>
      </w:r>
    </w:p>
    <w:p>
      <w:pPr>
        <w:pStyle w:val="2"/>
        <w:spacing w:before="156" w:beforeLines="50" w:after="156" w:afterLines="50" w:line="360" w:lineRule="auto"/>
        <w:jc w:val="left"/>
        <w:rPr>
          <w:rFonts w:ascii="仿宋" w:hAnsi="仿宋" w:eastAsia="仿宋"/>
          <w:b/>
          <w:sz w:val="32"/>
          <w:szCs w:val="32"/>
        </w:rPr>
      </w:pPr>
      <w:bookmarkStart w:id="3" w:name="_Toc509337144"/>
      <w:r>
        <w:rPr>
          <w:rFonts w:hint="eastAsia" w:ascii="仿宋" w:hAnsi="仿宋" w:eastAsia="仿宋"/>
          <w:b/>
          <w:sz w:val="32"/>
          <w:szCs w:val="32"/>
        </w:rPr>
        <w:t>二、规划期限</w:t>
      </w:r>
      <w:bookmarkEnd w:id="3"/>
      <w:r>
        <w:rPr>
          <w:rFonts w:hint="eastAsia" w:ascii="仿宋" w:hAnsi="仿宋" w:eastAsia="仿宋"/>
          <w:b/>
          <w:sz w:val="32"/>
          <w:szCs w:val="32"/>
        </w:rPr>
        <w:t>与城市规模</w:t>
      </w:r>
    </w:p>
    <w:p>
      <w:pPr>
        <w:rPr>
          <w:rFonts w:ascii="仿宋" w:hAnsi="仿宋" w:eastAsia="仿宋"/>
          <w:sz w:val="28"/>
          <w:szCs w:val="28"/>
        </w:rPr>
      </w:pPr>
      <w:r>
        <w:rPr>
          <w:rFonts w:hint="eastAsia" w:ascii="仿宋" w:hAnsi="仿宋" w:eastAsia="仿宋"/>
          <w:sz w:val="28"/>
          <w:szCs w:val="28"/>
        </w:rPr>
        <w:t>1、规划期限</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近期</w:t>
      </w:r>
      <w:r>
        <w:rPr>
          <w:rFonts w:ascii="仿宋" w:hAnsi="仿宋" w:eastAsia="仿宋"/>
          <w:sz w:val="28"/>
          <w:szCs w:val="28"/>
        </w:rPr>
        <w:t>：</w:t>
      </w:r>
      <w:r>
        <w:rPr>
          <w:rFonts w:hint="eastAsia" w:ascii="仿宋" w:hAnsi="仿宋" w:eastAsia="仿宋"/>
          <w:sz w:val="28"/>
          <w:szCs w:val="28"/>
        </w:rPr>
        <w:t>2019-2022年；</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远期</w:t>
      </w:r>
      <w:r>
        <w:rPr>
          <w:rFonts w:ascii="仿宋" w:hAnsi="仿宋" w:eastAsia="仿宋"/>
          <w:sz w:val="28"/>
          <w:szCs w:val="28"/>
        </w:rPr>
        <w:t>：</w:t>
      </w:r>
      <w:r>
        <w:rPr>
          <w:rFonts w:hint="eastAsia" w:ascii="仿宋" w:hAnsi="仿宋" w:eastAsia="仿宋"/>
          <w:sz w:val="28"/>
          <w:szCs w:val="28"/>
        </w:rPr>
        <w:t>2023-2030年。</w:t>
      </w:r>
    </w:p>
    <w:p>
      <w:pPr>
        <w:spacing w:line="360" w:lineRule="auto"/>
        <w:rPr>
          <w:rFonts w:ascii="仿宋" w:hAnsi="仿宋" w:eastAsia="仿宋"/>
          <w:sz w:val="28"/>
          <w:szCs w:val="28"/>
        </w:rPr>
      </w:pPr>
      <w:r>
        <w:rPr>
          <w:rFonts w:hint="eastAsia" w:ascii="仿宋" w:hAnsi="仿宋" w:eastAsia="仿宋"/>
          <w:sz w:val="28"/>
          <w:szCs w:val="28"/>
        </w:rPr>
        <w:t>2、城市规模</w:t>
      </w:r>
    </w:p>
    <w:p>
      <w:pPr>
        <w:spacing w:line="360" w:lineRule="auto"/>
        <w:ind w:firstLine="420" w:firstLineChars="150"/>
        <w:rPr>
          <w:rFonts w:ascii="仿宋" w:hAnsi="仿宋" w:eastAsia="仿宋"/>
          <w:sz w:val="28"/>
          <w:szCs w:val="28"/>
        </w:rPr>
      </w:pPr>
      <w:r>
        <w:rPr>
          <w:rFonts w:hint="eastAsia" w:ascii="仿宋" w:hAnsi="仿宋" w:eastAsia="仿宋"/>
          <w:sz w:val="28"/>
          <w:szCs w:val="28"/>
        </w:rPr>
        <w:t>近期（2022年）规划常住人口32万人，城市建设用地45平方公里，人均城市建设用地140 平方米；</w:t>
      </w:r>
    </w:p>
    <w:p>
      <w:pPr>
        <w:spacing w:line="360" w:lineRule="auto"/>
        <w:ind w:firstLine="420" w:firstLineChars="150"/>
        <w:rPr>
          <w:rFonts w:ascii="仿宋" w:hAnsi="仿宋" w:eastAsia="仿宋"/>
          <w:sz w:val="28"/>
          <w:szCs w:val="28"/>
        </w:rPr>
      </w:pPr>
      <w:r>
        <w:rPr>
          <w:rFonts w:hint="eastAsia" w:ascii="仿宋" w:hAnsi="仿宋" w:eastAsia="仿宋"/>
          <w:sz w:val="28"/>
          <w:szCs w:val="28"/>
        </w:rPr>
        <w:t>远期（2030年）规划常住人口45万人，城市建设用地控制在49.5 平方公里以内，人均城市建设用地不超过110平方米。</w:t>
      </w:r>
    </w:p>
    <w:p>
      <w:pPr>
        <w:pStyle w:val="2"/>
        <w:spacing w:before="156" w:beforeLines="50" w:after="156" w:afterLines="50" w:line="360" w:lineRule="auto"/>
        <w:jc w:val="left"/>
        <w:rPr>
          <w:rFonts w:ascii="仿宋" w:hAnsi="仿宋" w:eastAsia="仿宋"/>
          <w:b/>
          <w:sz w:val="32"/>
          <w:szCs w:val="32"/>
        </w:rPr>
      </w:pPr>
      <w:bookmarkStart w:id="4" w:name="_Toc509337145"/>
      <w:r>
        <w:rPr>
          <w:rFonts w:hint="eastAsia" w:ascii="仿宋" w:hAnsi="仿宋" w:eastAsia="仿宋"/>
          <w:b/>
          <w:sz w:val="32"/>
          <w:szCs w:val="32"/>
        </w:rPr>
        <w:t>三、规划范围</w:t>
      </w:r>
      <w:bookmarkEnd w:id="4"/>
    </w:p>
    <w:p>
      <w:pPr>
        <w:spacing w:line="360" w:lineRule="auto"/>
        <w:ind w:firstLine="560" w:firstLineChars="200"/>
        <w:rPr>
          <w:rFonts w:ascii="仿宋" w:hAnsi="仿宋" w:eastAsia="仿宋"/>
          <w:sz w:val="28"/>
          <w:szCs w:val="28"/>
        </w:rPr>
      </w:pPr>
      <w:r>
        <w:rPr>
          <w:rFonts w:hint="eastAsia" w:ascii="仿宋" w:hAnsi="仿宋" w:eastAsia="仿宋"/>
          <w:sz w:val="28"/>
          <w:szCs w:val="28"/>
        </w:rPr>
        <w:t>盱眙县域，总面积2497.3平方公里。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中心城区：由淮河、新扬高速-北环路-盱马路、规划235 国道-121省道所围合的范围，总面积约120平方公里。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本次规划的范围为县域、中心城区两个层次。</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四、规划指导思想</w:t>
      </w:r>
    </w:p>
    <w:p>
      <w:pPr>
        <w:spacing w:line="360" w:lineRule="auto"/>
        <w:ind w:firstLine="560" w:firstLineChars="200"/>
        <w:rPr>
          <w:rFonts w:ascii="仿宋" w:hAnsi="仿宋" w:eastAsia="仿宋"/>
          <w:sz w:val="28"/>
          <w:szCs w:val="28"/>
        </w:rPr>
      </w:pPr>
      <w:r>
        <w:rPr>
          <w:rFonts w:hint="eastAsia" w:ascii="仿宋" w:hAnsi="仿宋" w:eastAsia="仿宋"/>
          <w:sz w:val="28"/>
          <w:szCs w:val="28"/>
        </w:rPr>
        <w:t>1、依托盱眙县现状自然条件，建构具有鲜明地方特色的城市景观格局。</w:t>
      </w:r>
    </w:p>
    <w:p>
      <w:pPr>
        <w:spacing w:line="360" w:lineRule="auto"/>
        <w:ind w:firstLine="560" w:firstLineChars="200"/>
        <w:rPr>
          <w:rFonts w:ascii="仿宋" w:hAnsi="仿宋" w:eastAsia="仿宋"/>
          <w:sz w:val="28"/>
          <w:szCs w:val="28"/>
        </w:rPr>
      </w:pPr>
      <w:r>
        <w:rPr>
          <w:rFonts w:hint="eastAsia" w:ascii="仿宋" w:hAnsi="仿宋" w:eastAsia="仿宋"/>
          <w:sz w:val="28"/>
          <w:szCs w:val="28"/>
        </w:rPr>
        <w:t>2、全面实施城市可持续发展战略和保持生物多样性计划，实现城市生态系统的良性循环，促进城市与自然的协调共生。</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3、整合城市绿地景观空间，完善城市绿地系统，有步骤地增加城市公园绿地的数量，提高绿化品质，满足市民日常游憩生活需求，创造良好人居环境。</w:t>
      </w:r>
    </w:p>
    <w:p>
      <w:pPr>
        <w:spacing w:line="360" w:lineRule="auto"/>
        <w:ind w:firstLine="560" w:firstLineChars="200"/>
        <w:rPr>
          <w:rFonts w:ascii="仿宋" w:hAnsi="仿宋" w:eastAsia="仿宋"/>
          <w:sz w:val="28"/>
          <w:szCs w:val="28"/>
        </w:rPr>
      </w:pPr>
      <w:r>
        <w:rPr>
          <w:rFonts w:hint="eastAsia" w:ascii="仿宋" w:hAnsi="仿宋" w:eastAsia="仿宋"/>
          <w:sz w:val="28"/>
          <w:szCs w:val="28"/>
        </w:rPr>
        <w:t>4、调动全社会力量参与城市园林建设，全面提升城市形象和精神文明水平，强调盱眙县的山水生态特色、龙虾文化和革命文化特色，突出城市建设文化、旅游文化在城市绿化建设中的重要性。</w:t>
      </w:r>
    </w:p>
    <w:p>
      <w:pPr>
        <w:spacing w:line="360" w:lineRule="auto"/>
        <w:ind w:firstLine="560" w:firstLineChars="200"/>
        <w:rPr>
          <w:rFonts w:ascii="仿宋" w:hAnsi="仿宋" w:eastAsia="仿宋"/>
          <w:sz w:val="28"/>
          <w:szCs w:val="28"/>
        </w:rPr>
      </w:pPr>
      <w:r>
        <w:rPr>
          <w:rFonts w:hint="eastAsia" w:ascii="仿宋" w:hAnsi="仿宋" w:eastAsia="仿宋"/>
          <w:sz w:val="28"/>
          <w:szCs w:val="28"/>
        </w:rPr>
        <w:t>5、依托城市绿化空间，环山沿水建设林荫道形成慢行绿道，链接山水生态资源和人文景观。</w:t>
      </w:r>
    </w:p>
    <w:p>
      <w:pPr>
        <w:pStyle w:val="2"/>
        <w:spacing w:before="156" w:beforeLines="50" w:after="156" w:afterLines="50" w:line="360" w:lineRule="auto"/>
        <w:jc w:val="left"/>
        <w:rPr>
          <w:rFonts w:ascii="仿宋" w:hAnsi="仿宋" w:eastAsia="仿宋"/>
          <w:b/>
          <w:sz w:val="32"/>
          <w:szCs w:val="32"/>
        </w:rPr>
      </w:pPr>
      <w:bookmarkStart w:id="5" w:name="_Toc509337147"/>
      <w:r>
        <w:rPr>
          <w:rFonts w:hint="eastAsia" w:ascii="仿宋" w:hAnsi="仿宋" w:eastAsia="仿宋"/>
          <w:b/>
          <w:sz w:val="32"/>
          <w:szCs w:val="32"/>
        </w:rPr>
        <w:t>五、规划</w:t>
      </w:r>
      <w:r>
        <w:rPr>
          <w:rFonts w:ascii="仿宋" w:hAnsi="仿宋" w:eastAsia="仿宋"/>
          <w:b/>
          <w:sz w:val="32"/>
          <w:szCs w:val="32"/>
        </w:rPr>
        <w:t>原则</w:t>
      </w:r>
      <w:bookmarkEnd w:id="5"/>
    </w:p>
    <w:p>
      <w:pPr>
        <w:widowControl/>
        <w:spacing w:line="360" w:lineRule="auto"/>
        <w:jc w:val="left"/>
        <w:rPr>
          <w:rFonts w:ascii="仿宋" w:hAnsi="仿宋" w:eastAsia="仿宋"/>
          <w:sz w:val="28"/>
          <w:szCs w:val="28"/>
        </w:rPr>
      </w:pPr>
      <w:r>
        <w:rPr>
          <w:rFonts w:hint="eastAsia" w:ascii="仿宋" w:hAnsi="仿宋" w:eastAsia="仿宋"/>
          <w:sz w:val="28"/>
          <w:szCs w:val="28"/>
        </w:rPr>
        <w:t>1、“四性五结合”原则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四性”即系统性、前瞻性、参与性和可操作性。系统性：按照景观生态学等原则，各种类型绿地相互联结，形成城市绿地网络系统，发挥生态、游憩、减灾等综合功能；前瞻性：既要实事求是，面对现实，又要高瞻远瞩，为远期绿地发展打下基础；参与性：贯彻以人为本的思想，方便群众就近休憩、游览、体育锻炼等；可操作性：规划既要切合实际，又可调节、控制。“五结合”是指：功能与景观结合；城镇与农村结合；近期与远期结合；需要与可能结合；建设与管理结合。</w:t>
      </w:r>
    </w:p>
    <w:p>
      <w:pPr>
        <w:widowControl/>
        <w:spacing w:line="360" w:lineRule="auto"/>
        <w:jc w:val="left"/>
        <w:rPr>
          <w:rFonts w:ascii="仿宋" w:hAnsi="仿宋" w:eastAsia="仿宋"/>
          <w:sz w:val="28"/>
          <w:szCs w:val="28"/>
        </w:rPr>
      </w:pPr>
      <w:r>
        <w:rPr>
          <w:rFonts w:hint="eastAsia" w:ascii="仿宋" w:hAnsi="仿宋" w:eastAsia="仿宋"/>
          <w:sz w:val="28"/>
          <w:szCs w:val="28"/>
        </w:rPr>
        <w:t>2、生态优先原则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以生态学原理为指导，强化生态绿地的保护和建设，注重扩大绿量，完善城区发展与自然生态环境的平衡。</w:t>
      </w:r>
    </w:p>
    <w:p>
      <w:pPr>
        <w:widowControl/>
        <w:spacing w:line="360" w:lineRule="auto"/>
        <w:jc w:val="left"/>
        <w:rPr>
          <w:rFonts w:ascii="仿宋" w:hAnsi="仿宋" w:eastAsia="仿宋"/>
          <w:sz w:val="28"/>
          <w:szCs w:val="28"/>
        </w:rPr>
      </w:pPr>
      <w:r>
        <w:rPr>
          <w:rFonts w:hint="eastAsia" w:ascii="仿宋" w:hAnsi="仿宋" w:eastAsia="仿宋"/>
          <w:sz w:val="28"/>
          <w:szCs w:val="28"/>
        </w:rPr>
        <w:t>3、整体性与系统性原则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盱眙县绿地系统规划根据盱眙总体发展战略，以《盱眙县总体规划》中有关绿地系统规划的内容为依据，因地制宜地进行布局，科学安排各类绿色空间。使绿地布局合理、功能完善，注重不同类型绿地间的相互联系，形成合理的绿色生态网络，并注重与外围生态绿地的联系。</w:t>
      </w:r>
    </w:p>
    <w:p>
      <w:pPr>
        <w:widowControl/>
        <w:spacing w:line="360" w:lineRule="auto"/>
        <w:jc w:val="left"/>
        <w:rPr>
          <w:rFonts w:ascii="仿宋" w:hAnsi="仿宋" w:eastAsia="仿宋"/>
          <w:sz w:val="28"/>
          <w:szCs w:val="28"/>
        </w:rPr>
      </w:pPr>
      <w:r>
        <w:rPr>
          <w:rFonts w:hint="eastAsia" w:ascii="仿宋" w:hAnsi="仿宋" w:eastAsia="仿宋"/>
          <w:sz w:val="28"/>
          <w:szCs w:val="28"/>
        </w:rPr>
        <w:t>4、特色融合原则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绿地注重与城市文化（“望得见山、看得见水、记得住乡愁”）相结合，注重生态要素的提炼和挖掘，塑造特色。挖掘盱眙县独特的红色文化、龙虾</w:t>
      </w:r>
      <w:r>
        <w:rPr>
          <w:rFonts w:ascii="仿宋" w:hAnsi="仿宋" w:eastAsia="仿宋"/>
          <w:sz w:val="28"/>
          <w:szCs w:val="28"/>
        </w:rPr>
        <w:t>文化、山水文化</w:t>
      </w:r>
      <w:r>
        <w:rPr>
          <w:rFonts w:hint="eastAsia" w:ascii="仿宋" w:hAnsi="仿宋" w:eastAsia="仿宋"/>
          <w:sz w:val="28"/>
          <w:szCs w:val="28"/>
        </w:rPr>
        <w:t>，传承历史文脉，融合文化内涵；综合运用园林手法，保护乡土植物资源，合理选择植物材料，尽可能多的增加植物种类，形成具有地方特色的绿地景观，营造休闲环境，彰显城区特色。</w:t>
      </w:r>
    </w:p>
    <w:p>
      <w:pPr>
        <w:widowControl/>
        <w:spacing w:line="360" w:lineRule="auto"/>
        <w:jc w:val="left"/>
        <w:rPr>
          <w:rFonts w:ascii="仿宋" w:hAnsi="仿宋" w:eastAsia="仿宋"/>
          <w:sz w:val="28"/>
          <w:szCs w:val="28"/>
        </w:rPr>
      </w:pPr>
      <w:r>
        <w:rPr>
          <w:rFonts w:hint="eastAsia" w:ascii="仿宋" w:hAnsi="仿宋" w:eastAsia="仿宋"/>
          <w:sz w:val="28"/>
          <w:szCs w:val="28"/>
        </w:rPr>
        <w:t>5、因地制宜原则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充分利用有利资源，科学安排各类绿地；适地适树。</w:t>
      </w:r>
    </w:p>
    <w:p>
      <w:pPr>
        <w:widowControl/>
        <w:spacing w:line="360" w:lineRule="auto"/>
        <w:jc w:val="left"/>
        <w:rPr>
          <w:rFonts w:ascii="仿宋" w:hAnsi="仿宋" w:eastAsia="仿宋"/>
          <w:sz w:val="28"/>
          <w:szCs w:val="28"/>
        </w:rPr>
      </w:pPr>
      <w:r>
        <w:rPr>
          <w:rFonts w:hint="eastAsia" w:ascii="仿宋" w:hAnsi="仿宋" w:eastAsia="仿宋"/>
          <w:sz w:val="28"/>
          <w:szCs w:val="28"/>
        </w:rPr>
        <w:t>6、效益双赢原则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以生态环境效益带动周边土地升值，引导城市建设和开发步入良性发展的轨道。</w:t>
      </w:r>
    </w:p>
    <w:p>
      <w:pPr>
        <w:widowControl/>
        <w:spacing w:line="360" w:lineRule="auto"/>
        <w:jc w:val="left"/>
        <w:rPr>
          <w:rFonts w:ascii="仿宋" w:hAnsi="仿宋" w:eastAsia="仿宋"/>
          <w:sz w:val="28"/>
          <w:szCs w:val="28"/>
        </w:rPr>
      </w:pPr>
      <w:r>
        <w:rPr>
          <w:rFonts w:hint="eastAsia" w:ascii="仿宋" w:hAnsi="仿宋" w:eastAsia="仿宋"/>
          <w:sz w:val="28"/>
          <w:szCs w:val="28"/>
        </w:rPr>
        <w:t>7、弹性原则</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规划一步到位，后期分步实施。重点和一般相结合，集中与分散相结合，近期、中期相结合，做到经济、实用、可行，提高城市绿地系统规划的可操作性，使之对整个盱眙县的园林绿化、生态环境建设和管理工作具有实践指导意义。</w:t>
      </w:r>
    </w:p>
    <w:p>
      <w:pPr>
        <w:pStyle w:val="2"/>
        <w:spacing w:before="156" w:beforeLines="50" w:after="156" w:afterLines="50" w:line="360" w:lineRule="auto"/>
        <w:jc w:val="left"/>
        <w:rPr>
          <w:rFonts w:ascii="仿宋" w:hAnsi="仿宋" w:eastAsia="仿宋"/>
          <w:b/>
          <w:sz w:val="32"/>
          <w:szCs w:val="32"/>
        </w:rPr>
      </w:pPr>
      <w:bookmarkStart w:id="6" w:name="_Toc509337149"/>
      <w:r>
        <w:rPr>
          <w:rFonts w:hint="eastAsia" w:ascii="仿宋" w:hAnsi="仿宋" w:eastAsia="仿宋"/>
          <w:b/>
          <w:sz w:val="32"/>
          <w:szCs w:val="32"/>
        </w:rPr>
        <w:t>六、规划目标</w:t>
      </w:r>
      <w:bookmarkEnd w:id="6"/>
    </w:p>
    <w:p>
      <w:pPr>
        <w:rPr>
          <w:rFonts w:ascii="仿宋" w:hAnsi="仿宋" w:eastAsia="仿宋"/>
          <w:sz w:val="28"/>
          <w:szCs w:val="28"/>
        </w:rPr>
      </w:pPr>
      <w:r>
        <w:rPr>
          <w:rFonts w:hint="eastAsia" w:ascii="仿宋" w:hAnsi="仿宋" w:eastAsia="仿宋"/>
          <w:sz w:val="28"/>
          <w:szCs w:val="28"/>
        </w:rPr>
        <w:t>1、总体目标</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（1）结构明晰、布局合理、类型健全</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盱眙县的城市绿地系统规划力争经过几年努力，使绿地布局更合理，绿地类型更齐全，形成整体联网，达到绿地系统框架结构，为盱眙县建设国家园林县城奠定基础，使之成为绿色生态的高科技新城。</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（2）山水名城、特色鲜明</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城区绿地系统应以改善城市环境和气候条件，健全生态，保护生物多样性、保护历史文物、营造山水名城，体现时代特色，创造体现盱眙县地域风貌的各种类型的绿地，以满足人们的要求。</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（3）创造“山水相连、廊道渗透、河道成网、绿缀满城”的和谐宜居的生态型园林城区。</w:t>
      </w:r>
    </w:p>
    <w:p>
      <w:pPr>
        <w:widowControl/>
        <w:spacing w:line="360" w:lineRule="auto"/>
        <w:ind w:firstLine="420"/>
        <w:jc w:val="left"/>
        <w:rPr>
          <w:rFonts w:ascii="仿宋" w:hAnsi="仿宋" w:eastAsia="仿宋"/>
          <w:sz w:val="28"/>
          <w:szCs w:val="28"/>
        </w:rPr>
      </w:pPr>
      <w:r>
        <w:rPr>
          <w:rFonts w:hint="eastAsia" w:ascii="仿宋" w:hAnsi="仿宋" w:eastAsia="仿宋"/>
          <w:sz w:val="28"/>
          <w:szCs w:val="28"/>
        </w:rPr>
        <w:t>功能定位：集旅游观光、生产加工、仓储物流等为主要功能的综合性区域。</w:t>
      </w:r>
    </w:p>
    <w:p>
      <w:pPr>
        <w:widowControl/>
        <w:spacing w:line="360" w:lineRule="auto"/>
        <w:jc w:val="left"/>
        <w:rPr>
          <w:rFonts w:ascii="仿宋" w:hAnsi="仿宋" w:eastAsia="仿宋"/>
          <w:sz w:val="28"/>
          <w:szCs w:val="28"/>
        </w:rPr>
      </w:pPr>
      <w:r>
        <w:rPr>
          <w:rFonts w:hint="eastAsia" w:ascii="仿宋" w:hAnsi="仿宋" w:eastAsia="仿宋"/>
          <w:sz w:val="28"/>
          <w:szCs w:val="28"/>
        </w:rPr>
        <w:t>2、具体目标</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1）近期(2022年)：城市绿地系统主框架基本形成，规划建成区绿地布局基本完善。改善城区生态环境、提升城区景观、提高园林绿化建设和管理水平，优先发展城市道路绿化、口袋公园、运河休闲带，老旧小区出新改造等，注重量与质的统一，规划形成城乡一体化的绿地系统，建成国家级园林县城。</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2）远期(2030年)：全面实施本规划提出的绿色空间体系，提高环境质量，在近期绿地有效控制、普遍绿化的基础上，进一步加强绿地的综合功能，丰富植物群落结构层次，通过新增精品绿地和绿地改造途径，形成完整的绿地系统发挥生态效应，形成内环外抱的综合体系，外围进行美丽乡村建设，内部打造幸福宜居的生态园林县城。</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七、规划指标</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近期规划2022年，盱眙县中心城区绿地率</w:t>
      </w:r>
      <w:r>
        <w:rPr>
          <w:rFonts w:ascii="仿宋" w:hAnsi="仿宋" w:eastAsia="仿宋"/>
          <w:sz w:val="28"/>
          <w:szCs w:val="28"/>
        </w:rPr>
        <w:t>37.14%</w:t>
      </w:r>
      <w:r>
        <w:rPr>
          <w:rFonts w:hint="eastAsia" w:ascii="仿宋" w:hAnsi="仿宋" w:eastAsia="仿宋"/>
          <w:sz w:val="28"/>
          <w:szCs w:val="28"/>
        </w:rPr>
        <w:t>，建成区内公园绿地面积</w:t>
      </w:r>
      <w:r>
        <w:rPr>
          <w:rFonts w:ascii="仿宋" w:hAnsi="仿宋" w:eastAsia="仿宋"/>
          <w:sz w:val="28"/>
          <w:szCs w:val="28"/>
        </w:rPr>
        <w:t>310.75</w:t>
      </w:r>
      <w:r>
        <w:rPr>
          <w:rFonts w:hint="eastAsia" w:ascii="仿宋" w:hAnsi="仿宋" w:eastAsia="仿宋"/>
          <w:sz w:val="28"/>
          <w:szCs w:val="28"/>
        </w:rPr>
        <w:t>ha，人均公园绿地面积</w:t>
      </w:r>
      <w:r>
        <w:rPr>
          <w:rFonts w:ascii="仿宋" w:hAnsi="仿宋" w:eastAsia="仿宋"/>
          <w:sz w:val="28"/>
          <w:szCs w:val="28"/>
        </w:rPr>
        <w:t>9.71</w:t>
      </w:r>
      <w:r>
        <w:rPr>
          <w:rFonts w:hint="eastAsia" w:ascii="仿宋" w:hAnsi="仿宋" w:eastAsia="仿宋"/>
          <w:sz w:val="28"/>
          <w:szCs w:val="28"/>
        </w:rPr>
        <w:t>m</w:t>
      </w:r>
      <w:r>
        <w:rPr>
          <w:rFonts w:hint="eastAsia" w:ascii="仿宋" w:hAnsi="仿宋" w:eastAsia="仿宋"/>
          <w:sz w:val="28"/>
          <w:szCs w:val="28"/>
          <w:vertAlign w:val="superscript"/>
        </w:rPr>
        <w:t>2</w:t>
      </w:r>
      <w:r>
        <w:rPr>
          <w:rFonts w:hint="eastAsia" w:ascii="仿宋" w:hAnsi="仿宋" w:eastAsia="仿宋"/>
          <w:sz w:val="28"/>
          <w:szCs w:val="28"/>
        </w:rPr>
        <w:t>/人。</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至规划期末2030年，盱眙县中心城区绿地率42.74</w:t>
      </w:r>
      <w:r>
        <w:rPr>
          <w:rFonts w:ascii="仿宋" w:hAnsi="仿宋" w:eastAsia="仿宋"/>
          <w:sz w:val="28"/>
          <w:szCs w:val="28"/>
        </w:rPr>
        <w:t>%</w:t>
      </w:r>
      <w:r>
        <w:rPr>
          <w:rFonts w:hint="eastAsia" w:ascii="仿宋" w:hAnsi="仿宋" w:eastAsia="仿宋"/>
          <w:sz w:val="28"/>
          <w:szCs w:val="28"/>
        </w:rPr>
        <w:t>，建成区内公园绿地面积542.85ha，人均公园绿地面积12.06m</w:t>
      </w:r>
      <w:r>
        <w:rPr>
          <w:rFonts w:hint="eastAsia" w:ascii="仿宋" w:hAnsi="仿宋" w:eastAsia="仿宋"/>
          <w:sz w:val="28"/>
          <w:szCs w:val="28"/>
          <w:vertAlign w:val="superscript"/>
        </w:rPr>
        <w:t>2</w:t>
      </w:r>
      <w:r>
        <w:rPr>
          <w:rFonts w:hint="eastAsia" w:ascii="仿宋" w:hAnsi="仿宋" w:eastAsia="仿宋"/>
          <w:sz w:val="28"/>
          <w:szCs w:val="28"/>
        </w:rPr>
        <w:t>/人。</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八、规划结构</w:t>
      </w:r>
    </w:p>
    <w:p>
      <w:pPr>
        <w:rPr>
          <w:rFonts w:ascii="仿宋" w:hAnsi="仿宋" w:eastAsia="仿宋"/>
          <w:sz w:val="28"/>
          <w:szCs w:val="28"/>
        </w:rPr>
      </w:pPr>
      <w:r>
        <w:rPr>
          <w:rFonts w:hint="eastAsia" w:ascii="仿宋" w:hAnsi="仿宋" w:eastAsia="仿宋"/>
          <w:sz w:val="28"/>
          <w:szCs w:val="28"/>
        </w:rPr>
        <w:t>1、县域绿地系统规划结构</w:t>
      </w:r>
    </w:p>
    <w:p>
      <w:pPr>
        <w:ind w:firstLine="420" w:firstLineChars="150"/>
        <w:rPr>
          <w:rFonts w:ascii="仿宋" w:hAnsi="仿宋" w:eastAsia="仿宋"/>
          <w:sz w:val="28"/>
          <w:szCs w:val="28"/>
        </w:rPr>
      </w:pPr>
      <w:r>
        <w:rPr>
          <w:rFonts w:hint="eastAsia" w:ascii="仿宋" w:hAnsi="仿宋" w:eastAsia="仿宋"/>
          <w:sz w:val="28"/>
          <w:szCs w:val="28"/>
        </w:rPr>
        <w:t>综合考虑盱眙县域的生态环境、与有相当规模的自然保护区和景区、生态廊道和种群源以及主要河流水库、山地等，以沿主要发展轴线为依托，以众多道路、河流沿线绿化、山地绿化及农田林网为基础，以中心城区绿地为核心，打造“带状--网络一多节点”的复合型绿地布局；构建“城岗相连，碧水镶嵌”的县域绿色体系；形成“两核三片、一轴四道七廊、多点分布，绿脉蓝楔”的空间结构；建成碧水相连、绿带相系、城乡一体的绿地系统。</w:t>
      </w:r>
    </w:p>
    <w:p>
      <w:pPr>
        <w:widowControl/>
        <w:spacing w:line="360" w:lineRule="auto"/>
        <w:jc w:val="left"/>
        <w:rPr>
          <w:rFonts w:ascii="仿宋" w:hAnsi="仿宋" w:eastAsia="仿宋"/>
          <w:sz w:val="28"/>
          <w:szCs w:val="28"/>
        </w:rPr>
      </w:pPr>
      <w:r>
        <w:rPr>
          <w:rFonts w:hint="eastAsia" w:ascii="仿宋" w:hAnsi="仿宋" w:eastAsia="仿宋"/>
          <w:sz w:val="28"/>
          <w:szCs w:val="28"/>
        </w:rPr>
        <w:t>（1）“一心一环”</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一心——中心城区生态文化心：以中心城区、第一山及周边资源整合的城区人文核心，中心城区范围内以景观性绿地为主，城区以外区域以生态绿地为主。城市的绿地系统向外辐射，推动外围县域大环境绿地的建设。</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一环——整个盱眙县外围生态大环线。</w:t>
      </w:r>
    </w:p>
    <w:p>
      <w:pPr>
        <w:widowControl/>
        <w:spacing w:line="360" w:lineRule="auto"/>
        <w:jc w:val="left"/>
        <w:rPr>
          <w:rFonts w:ascii="仿宋" w:hAnsi="仿宋" w:eastAsia="仿宋"/>
          <w:sz w:val="28"/>
          <w:szCs w:val="28"/>
        </w:rPr>
      </w:pPr>
      <w:r>
        <w:rPr>
          <w:rFonts w:hint="eastAsia" w:ascii="仿宋" w:hAnsi="仿宋" w:eastAsia="仿宋"/>
          <w:sz w:val="28"/>
          <w:szCs w:val="28"/>
        </w:rPr>
        <w:t>（2）“两廊四区”</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两廊——淮河文化田园休闲廊和天泉星空生态风景廊。</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四区——包括湿地原乡乐活区、山水养生度假区、历史文化休闲区、淮河田园体验区。</w:t>
      </w:r>
    </w:p>
    <w:p>
      <w:pPr>
        <w:widowControl/>
        <w:spacing w:line="360" w:lineRule="auto"/>
        <w:jc w:val="left"/>
        <w:rPr>
          <w:rFonts w:ascii="仿宋" w:hAnsi="仿宋" w:eastAsia="仿宋"/>
          <w:sz w:val="28"/>
          <w:szCs w:val="28"/>
        </w:rPr>
      </w:pPr>
      <w:r>
        <w:rPr>
          <w:rFonts w:hint="eastAsia" w:ascii="仿宋" w:hAnsi="仿宋" w:eastAsia="仿宋"/>
          <w:sz w:val="28"/>
          <w:szCs w:val="28"/>
        </w:rPr>
        <w:t>（3）“多点分布”</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多点：指盱眙县域下的各个镇区内的绿地系统规划，结合全域旅游八大功能组团及各镇村的美丽乡村和特色小镇建设，形成生态林地环镇。这些在城区外围镇区，通过骨架搭建和区域合作建立以道路、农田水网、绿化为基础的盱眙地区环状绿色生态屏障、生态环廊，从总体上形成“区域生态圈”。</w:t>
      </w:r>
    </w:p>
    <w:p>
      <w:pPr>
        <w:widowControl/>
        <w:spacing w:line="360" w:lineRule="auto"/>
        <w:jc w:val="left"/>
        <w:rPr>
          <w:rFonts w:ascii="仿宋" w:hAnsi="仿宋" w:eastAsia="仿宋"/>
          <w:sz w:val="28"/>
          <w:szCs w:val="28"/>
        </w:rPr>
      </w:pPr>
      <w:r>
        <w:rPr>
          <w:rFonts w:hint="eastAsia" w:ascii="仿宋" w:hAnsi="仿宋" w:eastAsia="仿宋"/>
          <w:sz w:val="28"/>
          <w:szCs w:val="28"/>
        </w:rPr>
        <w:t>（4）“绿脉蓝楔”</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沿城市重点景观河流、水库和主要城市道路设置绿化带，既作为城市的微风通道，又联系各个成片的群落，支持生态过程，构成县域结构的大框架。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道路林网——包括高速公路、交通干线等。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水系林网——河流生态绿化带如淮河、洪泽湖、溜子河、二淮河、鲍引河等景观带；结合河流、水库等形成交织成网的河道风光带，沿河重点发展淮河景观带、天泉湖、龙泉湖水上旅游。</w:t>
      </w:r>
    </w:p>
    <w:p>
      <w:pPr>
        <w:widowControl/>
        <w:spacing w:line="360" w:lineRule="auto"/>
        <w:jc w:val="left"/>
        <w:rPr>
          <w:rFonts w:ascii="仿宋" w:hAnsi="仿宋" w:eastAsia="仿宋"/>
          <w:sz w:val="28"/>
          <w:szCs w:val="28"/>
        </w:rPr>
      </w:pPr>
      <w:r>
        <w:rPr>
          <w:rFonts w:hint="eastAsia" w:ascii="仿宋" w:hAnsi="仿宋" w:eastAsia="仿宋"/>
          <w:sz w:val="28"/>
          <w:szCs w:val="28"/>
        </w:rPr>
        <w:t>通过道路林网和水系林网，形成整个县域大绿色空间的骨架。</w:t>
      </w:r>
    </w:p>
    <w:p>
      <w:pPr>
        <w:rPr>
          <w:rFonts w:ascii="仿宋" w:hAnsi="仿宋" w:eastAsia="仿宋"/>
          <w:sz w:val="28"/>
          <w:szCs w:val="28"/>
        </w:rPr>
      </w:pPr>
      <w:r>
        <w:rPr>
          <w:rFonts w:hint="eastAsia" w:ascii="仿宋" w:hAnsi="仿宋" w:eastAsia="仿宋"/>
          <w:sz w:val="28"/>
          <w:szCs w:val="28"/>
        </w:rPr>
        <w:t>2、中心城区绿地系统规划结构</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综合具体条件，盱眙县中心城区形成“一心、四带四道、九横十纵、多片多点”的绿地格局。</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（1）一心：城市商业中心——绿心显城</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依托现状国贸商圈，结合用地布局的调整优化，大力发展城市商业服务、文体娱乐等产业，是城市生活服务功能的主要集聚区。</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（2）四带四道：山水廊道——绿廊绕城</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四带：淮河滨水休闲景观带、 南北山体生态景观带、淮河—龙泉湖生态保育带、新扬-G25高速生态防护带。</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四道：淮河风光游赏绿道，山体人文体验绿道，滨河休闲绿道，都市景观展示绿道。</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（3）九横十纵：绿带耀城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九横：包括里营大道两侧绿带、山水大道两侧绿带，甘泉路两侧绿带，淮河东路-金鹏大道-圣山路两侧绿带，都梁西路两侧绿带、天鹅湖路-二环路两侧绿带、圣山路两侧绿带、金源路两侧绿带，虎山路两侧绿带。</w:t>
      </w:r>
    </w:p>
    <w:p>
      <w:pPr>
        <w:widowControl/>
        <w:spacing w:line="360" w:lineRule="auto"/>
        <w:ind w:firstLine="420" w:firstLineChars="150"/>
        <w:jc w:val="left"/>
        <w:rPr>
          <w:rFonts w:ascii="仿宋" w:hAnsi="仿宋" w:eastAsia="仿宋"/>
          <w:sz w:val="28"/>
          <w:szCs w:val="28"/>
        </w:rPr>
      </w:pPr>
      <w:r>
        <w:rPr>
          <w:rFonts w:hint="eastAsia" w:ascii="仿宋" w:hAnsi="仿宋" w:eastAsia="仿宋"/>
          <w:sz w:val="28"/>
          <w:szCs w:val="28"/>
        </w:rPr>
        <w:t>十纵： 包括淮河北路-淮河南路两侧绿带，淮河明珠路-金源北路-金源南路-嘉喜大道两侧控绿带，都梁北路-都梁南路-泽兰路两侧绿带，洪武大道两侧控绿带，东方大道两侧控绿带，十老路-金桂大道两侧控绿带，葵花大道两侧控绿带，玉兰大道两侧控绿带，紫薇大道两侧控绿带、枫杨大道两侧控绿带。</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（4）多片——绿网覆城</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包括老城片区、城中片区、城北片区、城东片区、城南片区、开发区、市场物流园、凹土产业园、港口产业园。</w:t>
      </w:r>
    </w:p>
    <w:p>
      <w:pPr>
        <w:widowControl/>
        <w:spacing w:line="360" w:lineRule="auto"/>
        <w:ind w:firstLine="280" w:firstLineChars="100"/>
        <w:jc w:val="left"/>
        <w:rPr>
          <w:rFonts w:ascii="仿宋" w:hAnsi="仿宋" w:eastAsia="仿宋"/>
          <w:sz w:val="28"/>
          <w:szCs w:val="28"/>
        </w:rPr>
      </w:pPr>
      <w:r>
        <w:rPr>
          <w:rFonts w:hint="eastAsia" w:ascii="仿宋" w:hAnsi="仿宋" w:eastAsia="仿宋"/>
          <w:sz w:val="28"/>
          <w:szCs w:val="28"/>
        </w:rPr>
        <w:t>（5）多点――绿珠融城</w:t>
      </w:r>
    </w:p>
    <w:p>
      <w:pPr>
        <w:widowControl/>
        <w:spacing w:line="360" w:lineRule="auto"/>
        <w:ind w:firstLine="560" w:firstLineChars="200"/>
        <w:jc w:val="left"/>
        <w:rPr>
          <w:rFonts w:ascii="仿宋" w:hAnsi="仿宋" w:eastAsia="仿宋"/>
          <w:sz w:val="32"/>
          <w:szCs w:val="32"/>
        </w:rPr>
      </w:pPr>
      <w:r>
        <w:rPr>
          <w:rFonts w:hint="eastAsia" w:ascii="仿宋" w:hAnsi="仿宋" w:eastAsia="仿宋"/>
          <w:sz w:val="28"/>
          <w:szCs w:val="28"/>
        </w:rPr>
        <w:t>城市公园绿地作为较大面积的绿色斑块嵌入城市生态基质中，为城市提供了良好的生态环境和宜人的绿色景观，在市区规划多个布局合理、特色鲜明的城市公园绿地，以区级公园、街头绿地为主，充分的拓展城市公园绿地，依托现有的绿地网架，将这些城市绿珠有机串联形成能体现盱眙县生态与文化交相辉映的城市绿色生态网络。</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九、各类公园规划</w:t>
      </w:r>
    </w:p>
    <w:p>
      <w:pPr>
        <w:rPr>
          <w:rFonts w:ascii="仿宋" w:hAnsi="仿宋" w:eastAsia="仿宋"/>
          <w:sz w:val="28"/>
          <w:szCs w:val="28"/>
        </w:rPr>
      </w:pPr>
      <w:r>
        <w:rPr>
          <w:rFonts w:hint="eastAsia" w:ascii="仿宋" w:hAnsi="仿宋" w:eastAsia="仿宋"/>
          <w:sz w:val="28"/>
          <w:szCs w:val="28"/>
        </w:rPr>
        <w:t>1、综合公园规划：综合公园面积约106.28公顷。</w:t>
      </w:r>
    </w:p>
    <w:p>
      <w:pPr>
        <w:rPr>
          <w:rFonts w:ascii="仿宋" w:hAnsi="仿宋" w:eastAsia="仿宋"/>
          <w:sz w:val="28"/>
          <w:szCs w:val="28"/>
        </w:rPr>
      </w:pPr>
      <w:r>
        <w:rPr>
          <w:rFonts w:hint="eastAsia" w:ascii="仿宋" w:hAnsi="仿宋" w:eastAsia="仿宋"/>
          <w:sz w:val="28"/>
          <w:szCs w:val="28"/>
        </w:rPr>
        <w:t>2、社区公园规划：社区公园面积约57.16公顷。</w:t>
      </w:r>
    </w:p>
    <w:p>
      <w:pPr>
        <w:rPr>
          <w:rFonts w:ascii="仿宋" w:hAnsi="仿宋" w:eastAsia="仿宋"/>
          <w:sz w:val="28"/>
          <w:szCs w:val="28"/>
        </w:rPr>
      </w:pPr>
      <w:r>
        <w:rPr>
          <w:rFonts w:hint="eastAsia" w:ascii="仿宋" w:hAnsi="仿宋" w:eastAsia="仿宋"/>
          <w:sz w:val="28"/>
          <w:szCs w:val="28"/>
        </w:rPr>
        <w:t>3、专类公园规划：专类公园面积约103.32公顷。</w:t>
      </w:r>
    </w:p>
    <w:p>
      <w:pPr>
        <w:rPr>
          <w:rFonts w:ascii="仿宋" w:hAnsi="仿宋" w:eastAsia="仿宋"/>
          <w:sz w:val="28"/>
          <w:szCs w:val="28"/>
        </w:rPr>
      </w:pPr>
      <w:r>
        <w:rPr>
          <w:rFonts w:hint="eastAsia" w:ascii="仿宋" w:hAnsi="仿宋" w:eastAsia="仿宋"/>
          <w:sz w:val="28"/>
          <w:szCs w:val="28"/>
        </w:rPr>
        <w:t>4、游园规划：游园面积276.09公顷。</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十、防护绿地规划</w:t>
      </w:r>
    </w:p>
    <w:p>
      <w:pPr>
        <w:pStyle w:val="33"/>
        <w:ind w:firstLine="560"/>
        <w:rPr>
          <w:rFonts w:ascii="仿宋" w:hAnsi="仿宋" w:eastAsia="仿宋"/>
          <w:sz w:val="28"/>
          <w:szCs w:val="28"/>
        </w:rPr>
      </w:pPr>
      <w:r>
        <w:rPr>
          <w:rFonts w:hint="eastAsia" w:ascii="仿宋" w:hAnsi="仿宋" w:eastAsia="仿宋"/>
          <w:sz w:val="28"/>
          <w:szCs w:val="28"/>
        </w:rPr>
        <w:t>包括公路、水系、高压走廊、市政设施周围及工业区与居住区之间的防护绿地，共330.96公顷。</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十一、广场用地规划</w:t>
      </w:r>
    </w:p>
    <w:p>
      <w:pPr>
        <w:pStyle w:val="33"/>
        <w:ind w:firstLine="560"/>
        <w:rPr>
          <w:rFonts w:ascii="仿宋" w:hAnsi="仿宋" w:eastAsia="仿宋"/>
          <w:sz w:val="28"/>
          <w:szCs w:val="28"/>
        </w:rPr>
      </w:pPr>
      <w:r>
        <w:rPr>
          <w:rFonts w:hint="eastAsia" w:ascii="仿宋" w:hAnsi="仿宋" w:eastAsia="仿宋"/>
          <w:sz w:val="28"/>
          <w:szCs w:val="28"/>
        </w:rPr>
        <w:t>规划新建广场用地绿地率不得低于35%。增加广场活动设施和</w:t>
      </w:r>
      <w:r>
        <w:rPr>
          <w:rFonts w:ascii="仿宋" w:hAnsi="仿宋" w:eastAsia="仿宋"/>
          <w:sz w:val="28"/>
          <w:szCs w:val="28"/>
        </w:rPr>
        <w:t>健身器材</w:t>
      </w:r>
      <w:r>
        <w:rPr>
          <w:rFonts w:hint="eastAsia" w:ascii="仿宋" w:hAnsi="仿宋" w:eastAsia="仿宋"/>
          <w:sz w:val="28"/>
          <w:szCs w:val="28"/>
        </w:rPr>
        <w:t>，挖掘城市文化，</w:t>
      </w:r>
      <w:r>
        <w:rPr>
          <w:rFonts w:ascii="仿宋" w:hAnsi="仿宋" w:eastAsia="仿宋"/>
          <w:sz w:val="28"/>
          <w:szCs w:val="28"/>
        </w:rPr>
        <w:t>增</w:t>
      </w:r>
      <w:r>
        <w:rPr>
          <w:rFonts w:hint="eastAsia" w:ascii="仿宋" w:hAnsi="仿宋" w:eastAsia="仿宋"/>
          <w:sz w:val="28"/>
          <w:szCs w:val="28"/>
        </w:rPr>
        <w:t>强</w:t>
      </w:r>
      <w:r>
        <w:rPr>
          <w:rFonts w:ascii="仿宋" w:hAnsi="仿宋" w:eastAsia="仿宋"/>
          <w:sz w:val="28"/>
          <w:szCs w:val="28"/>
        </w:rPr>
        <w:t>市民参与性和体验感</w:t>
      </w:r>
      <w:r>
        <w:rPr>
          <w:rFonts w:hint="eastAsia" w:ascii="仿宋" w:hAnsi="仿宋" w:eastAsia="仿宋"/>
          <w:sz w:val="28"/>
          <w:szCs w:val="28"/>
        </w:rPr>
        <w:t>。规划广场面积达18.25公顷，其中绿地面积达7.43公顷。</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十二、附属绿地规划</w:t>
      </w:r>
    </w:p>
    <w:p>
      <w:pPr>
        <w:rPr>
          <w:rFonts w:ascii="仿宋" w:hAnsi="仿宋" w:eastAsia="仿宋"/>
          <w:sz w:val="28"/>
          <w:szCs w:val="28"/>
        </w:rPr>
      </w:pPr>
      <w:r>
        <w:rPr>
          <w:rFonts w:hint="eastAsia" w:ascii="仿宋" w:hAnsi="仿宋" w:eastAsia="仿宋"/>
          <w:sz w:val="28"/>
          <w:szCs w:val="28"/>
        </w:rPr>
        <w:t>1、居住绿地规划</w:t>
      </w:r>
    </w:p>
    <w:p>
      <w:pPr>
        <w:ind w:firstLine="560" w:firstLineChars="200"/>
        <w:rPr>
          <w:rFonts w:ascii="仿宋" w:hAnsi="仿宋" w:eastAsia="仿宋"/>
          <w:sz w:val="28"/>
          <w:szCs w:val="28"/>
        </w:rPr>
      </w:pPr>
      <w:r>
        <w:rPr>
          <w:rFonts w:hint="eastAsia" w:ascii="仿宋" w:hAnsi="仿宋" w:eastAsia="仿宋"/>
          <w:sz w:val="28"/>
          <w:szCs w:val="28"/>
        </w:rPr>
        <w:t>规划旧有居住小区经改建后绿地率不低于25%，新建居住小区绿地率达到30%以上，居住绿地建设应以植物造景为主，推进形成立体绿化、空中绿化，丰富居住区景观层次。居住附属绿地共365.38公顷。</w:t>
      </w:r>
    </w:p>
    <w:p>
      <w:pPr>
        <w:rPr>
          <w:rFonts w:ascii="仿宋" w:hAnsi="仿宋" w:eastAsia="仿宋"/>
          <w:sz w:val="28"/>
          <w:szCs w:val="28"/>
        </w:rPr>
      </w:pPr>
      <w:r>
        <w:rPr>
          <w:rFonts w:hint="eastAsia" w:ascii="仿宋" w:hAnsi="仿宋" w:eastAsia="仿宋"/>
          <w:sz w:val="28"/>
          <w:szCs w:val="28"/>
        </w:rPr>
        <w:t>2、道路绿地规划</w:t>
      </w:r>
    </w:p>
    <w:p>
      <w:pPr>
        <w:ind w:firstLine="560" w:firstLineChars="200"/>
        <w:rPr>
          <w:rFonts w:ascii="仿宋" w:hAnsi="仿宋" w:eastAsia="仿宋"/>
          <w:sz w:val="28"/>
          <w:szCs w:val="28"/>
        </w:rPr>
      </w:pPr>
      <w:r>
        <w:rPr>
          <w:rFonts w:hint="eastAsia" w:ascii="仿宋" w:hAnsi="仿宋" w:eastAsia="仿宋"/>
          <w:sz w:val="28"/>
          <w:szCs w:val="28"/>
        </w:rPr>
        <w:t>为实现“一路一景、一路一个特色”的道路绿地系统的规划目标，创造出总体统一、主次为分明、特色突出、高品位的城市道路绿地景观。道路附属绿地165.03公顷。</w:t>
      </w:r>
    </w:p>
    <w:p>
      <w:pPr>
        <w:rPr>
          <w:rFonts w:ascii="仿宋" w:hAnsi="仿宋" w:eastAsia="仿宋"/>
          <w:sz w:val="28"/>
          <w:szCs w:val="28"/>
        </w:rPr>
      </w:pPr>
      <w:r>
        <w:rPr>
          <w:rFonts w:hint="eastAsia" w:ascii="仿宋" w:hAnsi="仿宋" w:eastAsia="仿宋"/>
          <w:sz w:val="28"/>
          <w:szCs w:val="28"/>
        </w:rPr>
        <w:t>3、单位附属绿地规划</w:t>
      </w:r>
    </w:p>
    <w:p>
      <w:pPr>
        <w:ind w:firstLine="420" w:firstLineChars="150"/>
        <w:rPr>
          <w:rFonts w:ascii="仿宋" w:hAnsi="仿宋" w:eastAsia="仿宋"/>
          <w:sz w:val="28"/>
          <w:szCs w:val="28"/>
        </w:rPr>
      </w:pPr>
      <w:r>
        <w:rPr>
          <w:rFonts w:hint="eastAsia" w:ascii="仿宋" w:hAnsi="仿宋" w:eastAsia="仿宋"/>
          <w:sz w:val="28"/>
          <w:szCs w:val="28"/>
        </w:rPr>
        <w:t>以植物造景为主，植物选择突出单位特点，工业区绿化满足生产、卫生防护和特殊要求的前提下；仓储绿地要选用干高荫浓的防火、降温树种；危险品仓库，沿周边配置防火和防爆性强的防护绿带。单位附属绿地面积703.85公顷。</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十三、区域绿地规划</w:t>
      </w:r>
    </w:p>
    <w:p>
      <w:pPr>
        <w:spacing w:line="360" w:lineRule="auto"/>
        <w:ind w:firstLine="560" w:firstLineChars="200"/>
        <w:jc w:val="left"/>
        <w:rPr>
          <w:rFonts w:ascii="仿宋" w:hAnsi="仿宋" w:eastAsia="仿宋"/>
          <w:sz w:val="28"/>
          <w:szCs w:val="28"/>
        </w:rPr>
      </w:pPr>
      <w:r>
        <w:rPr>
          <w:rFonts w:hint="eastAsia" w:ascii="仿宋" w:hAnsi="仿宋" w:eastAsia="仿宋"/>
          <w:sz w:val="28"/>
          <w:szCs w:val="28"/>
        </w:rPr>
        <w:t>规划区域绿地面积共1</w:t>
      </w:r>
      <w:r>
        <w:rPr>
          <w:rFonts w:ascii="仿宋" w:hAnsi="仿宋" w:eastAsia="仿宋"/>
          <w:sz w:val="28"/>
          <w:szCs w:val="28"/>
        </w:rPr>
        <w:t>844.43</w:t>
      </w:r>
      <w:r>
        <w:rPr>
          <w:rFonts w:hint="eastAsia" w:ascii="仿宋" w:hAnsi="仿宋" w:eastAsia="仿宋"/>
          <w:sz w:val="28"/>
          <w:szCs w:val="28"/>
        </w:rPr>
        <w:t>公顷，</w:t>
      </w:r>
      <w:r>
        <w:rPr>
          <w:rFonts w:ascii="仿宋" w:hAnsi="仿宋" w:eastAsia="仿宋"/>
          <w:sz w:val="28"/>
          <w:szCs w:val="28"/>
        </w:rPr>
        <w:t>包括生产绿地及生态绿地、</w:t>
      </w:r>
      <w:r>
        <w:rPr>
          <w:rFonts w:hint="eastAsia" w:ascii="仿宋" w:hAnsi="仿宋" w:eastAsia="仿宋"/>
          <w:sz w:val="28"/>
          <w:szCs w:val="28"/>
        </w:rPr>
        <w:t>水源涵养地</w:t>
      </w:r>
      <w:r>
        <w:rPr>
          <w:rFonts w:ascii="仿宋" w:hAnsi="仿宋" w:eastAsia="仿宋"/>
          <w:sz w:val="28"/>
          <w:szCs w:val="28"/>
        </w:rPr>
        <w:t>、山体林地等</w:t>
      </w:r>
      <w:r>
        <w:rPr>
          <w:rFonts w:hint="eastAsia" w:ascii="仿宋" w:hAnsi="仿宋" w:eastAsia="仿宋"/>
          <w:sz w:val="28"/>
          <w:szCs w:val="28"/>
        </w:rPr>
        <w:t>。</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十四、城市绿地系统景观风貌规划</w:t>
      </w:r>
    </w:p>
    <w:p>
      <w:pPr>
        <w:rPr>
          <w:rFonts w:ascii="仿宋" w:hAnsi="仿宋" w:eastAsia="仿宋"/>
          <w:sz w:val="28"/>
          <w:szCs w:val="28"/>
        </w:rPr>
      </w:pPr>
      <w:r>
        <w:rPr>
          <w:rFonts w:hint="eastAsia" w:ascii="仿宋" w:hAnsi="仿宋" w:eastAsia="仿宋"/>
          <w:sz w:val="28"/>
          <w:szCs w:val="28"/>
        </w:rPr>
        <w:t>1、城市绿地系统特色景观规划目标</w:t>
      </w:r>
    </w:p>
    <w:p>
      <w:pPr>
        <w:spacing w:before="100" w:after="100" w:line="360" w:lineRule="auto"/>
        <w:ind w:firstLine="560" w:firstLineChars="200"/>
        <w:rPr>
          <w:rFonts w:ascii="仿宋" w:hAnsi="仿宋" w:eastAsia="仿宋"/>
          <w:sz w:val="28"/>
          <w:szCs w:val="28"/>
        </w:rPr>
      </w:pPr>
      <w:r>
        <w:rPr>
          <w:rFonts w:ascii="仿宋" w:hAnsi="仿宋" w:eastAsia="仿宋"/>
          <w:sz w:val="28"/>
          <w:szCs w:val="28"/>
        </w:rPr>
        <w:t>在保持现有良好自然环境的基础上，全面完善、优化人工环境，丰富人文内涵，创造具有</w:t>
      </w:r>
      <w:r>
        <w:rPr>
          <w:rFonts w:hint="eastAsia" w:ascii="仿宋" w:hAnsi="仿宋" w:eastAsia="仿宋"/>
          <w:sz w:val="28"/>
          <w:szCs w:val="28"/>
        </w:rPr>
        <w:t>盱眙县</w:t>
      </w:r>
      <w:r>
        <w:rPr>
          <w:rFonts w:ascii="仿宋" w:hAnsi="仿宋" w:eastAsia="仿宋"/>
          <w:sz w:val="28"/>
          <w:szCs w:val="28"/>
        </w:rPr>
        <w:t>历史文化</w:t>
      </w:r>
      <w:r>
        <w:rPr>
          <w:rFonts w:hint="eastAsia" w:ascii="仿宋" w:hAnsi="仿宋" w:eastAsia="仿宋"/>
          <w:sz w:val="28"/>
          <w:szCs w:val="28"/>
        </w:rPr>
        <w:t>特色</w:t>
      </w:r>
      <w:r>
        <w:rPr>
          <w:rFonts w:ascii="仿宋" w:hAnsi="仿宋" w:eastAsia="仿宋"/>
          <w:sz w:val="28"/>
          <w:szCs w:val="28"/>
        </w:rPr>
        <w:t>的景观风貌。</w:t>
      </w:r>
    </w:p>
    <w:p>
      <w:pPr>
        <w:rPr>
          <w:rFonts w:ascii="仿宋" w:hAnsi="仿宋" w:eastAsia="仿宋"/>
          <w:sz w:val="28"/>
          <w:szCs w:val="28"/>
        </w:rPr>
      </w:pPr>
      <w:r>
        <w:rPr>
          <w:rFonts w:hint="eastAsia" w:ascii="仿宋" w:hAnsi="仿宋" w:eastAsia="仿宋"/>
          <w:sz w:val="28"/>
          <w:szCs w:val="28"/>
        </w:rPr>
        <w:t>2、规划结构及布局</w:t>
      </w:r>
    </w:p>
    <w:p>
      <w:pPr>
        <w:rPr>
          <w:rFonts w:ascii="仿宋" w:hAnsi="仿宋" w:eastAsia="仿宋"/>
          <w:sz w:val="28"/>
          <w:szCs w:val="28"/>
        </w:rPr>
      </w:pPr>
      <w:r>
        <w:rPr>
          <w:rFonts w:hint="eastAsia" w:ascii="仿宋" w:hAnsi="仿宋" w:eastAsia="仿宋"/>
          <w:sz w:val="28"/>
          <w:szCs w:val="28"/>
        </w:rPr>
        <w:t>（1）城市特色定位</w:t>
      </w:r>
    </w:p>
    <w:p>
      <w:pPr>
        <w:ind w:firstLine="560" w:firstLineChars="200"/>
        <w:rPr>
          <w:rFonts w:ascii="仿宋" w:hAnsi="仿宋" w:eastAsia="仿宋"/>
          <w:sz w:val="28"/>
          <w:szCs w:val="28"/>
        </w:rPr>
      </w:pPr>
      <w:r>
        <w:rPr>
          <w:rFonts w:hint="eastAsia" w:ascii="仿宋" w:hAnsi="仿宋" w:eastAsia="仿宋"/>
          <w:sz w:val="28"/>
          <w:szCs w:val="28"/>
        </w:rPr>
        <w:t>结合现状资源分析及县域特色规划，将盱眙中心城区城市特色定位为：一水绕都梁，山城两相依；河湖脉相连、双翼同生辉。</w:t>
      </w:r>
    </w:p>
    <w:p>
      <w:pPr>
        <w:rPr>
          <w:rFonts w:ascii="仿宋" w:hAnsi="仿宋" w:eastAsia="仿宋"/>
          <w:sz w:val="28"/>
          <w:szCs w:val="28"/>
        </w:rPr>
      </w:pPr>
      <w:r>
        <w:rPr>
          <w:rFonts w:hint="eastAsia" w:ascii="仿宋" w:hAnsi="仿宋" w:eastAsia="仿宋"/>
          <w:sz w:val="28"/>
          <w:szCs w:val="28"/>
        </w:rPr>
        <w:t>（2）城市绿地景观空间结构</w:t>
      </w:r>
    </w:p>
    <w:p>
      <w:pPr>
        <w:spacing w:line="360" w:lineRule="auto"/>
        <w:ind w:firstLine="482"/>
        <w:rPr>
          <w:rFonts w:ascii="仿宋" w:hAnsi="仿宋" w:eastAsia="仿宋"/>
          <w:sz w:val="28"/>
          <w:szCs w:val="28"/>
        </w:rPr>
      </w:pPr>
      <w:r>
        <w:rPr>
          <w:rFonts w:hint="eastAsia" w:ascii="仿宋" w:hAnsi="仿宋" w:eastAsia="仿宋"/>
          <w:sz w:val="28"/>
          <w:szCs w:val="28"/>
        </w:rPr>
        <w:t>依据总体规划城市景观空间结构布局结构特点，确定城市绿地景观空间结构为“一心二轴、两片三廊，七脉多斑块”组成的点、线、面结合的整体空间结构。</w:t>
      </w:r>
    </w:p>
    <w:p>
      <w:pPr>
        <w:spacing w:line="360" w:lineRule="auto"/>
        <w:rPr>
          <w:rFonts w:ascii="仿宋" w:hAnsi="仿宋" w:eastAsia="仿宋"/>
          <w:sz w:val="28"/>
          <w:szCs w:val="28"/>
        </w:rPr>
      </w:pPr>
      <w:r>
        <w:rPr>
          <w:rFonts w:hint="eastAsia" w:ascii="仿宋" w:hAnsi="仿宋" w:eastAsia="仿宋"/>
          <w:sz w:val="28"/>
          <w:szCs w:val="28"/>
        </w:rPr>
        <w:t>（3）城市水系绿地景观规划</w:t>
      </w:r>
    </w:p>
    <w:p>
      <w:pPr>
        <w:spacing w:line="360" w:lineRule="auto"/>
        <w:ind w:firstLine="560" w:firstLineChars="200"/>
        <w:rPr>
          <w:rFonts w:ascii="仿宋" w:hAnsi="仿宋" w:eastAsia="仿宋"/>
          <w:sz w:val="28"/>
          <w:szCs w:val="28"/>
        </w:rPr>
      </w:pPr>
      <w:r>
        <w:rPr>
          <w:rFonts w:ascii="仿宋" w:hAnsi="仿宋" w:eastAsia="仿宋"/>
          <w:sz w:val="28"/>
          <w:szCs w:val="28"/>
        </w:rPr>
        <w:t>突出“一脉四系”特色</w:t>
      </w:r>
      <w:r>
        <w:rPr>
          <w:rFonts w:hint="eastAsia" w:ascii="仿宋" w:hAnsi="仿宋" w:eastAsia="仿宋"/>
          <w:sz w:val="28"/>
          <w:szCs w:val="28"/>
        </w:rPr>
        <w:t>，</w:t>
      </w:r>
      <w:r>
        <w:rPr>
          <w:rFonts w:ascii="仿宋" w:hAnsi="仿宋" w:eastAsia="仿宋"/>
          <w:sz w:val="28"/>
          <w:szCs w:val="28"/>
        </w:rPr>
        <w:t>形成绿带-蓝网系统</w:t>
      </w:r>
      <w:r>
        <w:rPr>
          <w:rFonts w:hint="eastAsia" w:ascii="仿宋" w:hAnsi="仿宋" w:eastAsia="仿宋"/>
          <w:sz w:val="28"/>
          <w:szCs w:val="28"/>
        </w:rPr>
        <w:t>，控制滨水天际轮廓，</w:t>
      </w:r>
      <w:r>
        <w:rPr>
          <w:rFonts w:ascii="仿宋" w:hAnsi="仿宋" w:eastAsia="仿宋"/>
          <w:sz w:val="28"/>
          <w:szCs w:val="28"/>
        </w:rPr>
        <w:t>满足防洪、治洪的需求</w:t>
      </w:r>
      <w:r>
        <w:rPr>
          <w:rFonts w:hint="eastAsia" w:ascii="仿宋" w:hAnsi="仿宋" w:eastAsia="仿宋"/>
          <w:sz w:val="28"/>
          <w:szCs w:val="28"/>
        </w:rPr>
        <w:t>。</w:t>
      </w:r>
    </w:p>
    <w:p>
      <w:pPr>
        <w:spacing w:line="360" w:lineRule="auto"/>
        <w:rPr>
          <w:rFonts w:ascii="仿宋" w:hAnsi="仿宋" w:eastAsia="仿宋"/>
          <w:sz w:val="28"/>
          <w:szCs w:val="28"/>
        </w:rPr>
      </w:pPr>
      <w:r>
        <w:rPr>
          <w:rFonts w:hint="eastAsia" w:ascii="仿宋" w:hAnsi="仿宋" w:eastAsia="仿宋"/>
          <w:sz w:val="28"/>
          <w:szCs w:val="28"/>
        </w:rPr>
        <w:t>3、特色水系景观廊道</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展现淮河文化，将滨河休闲风光带建成融游览观光、文化体验、休闲娱乐、绿地游憩为一体的滨河文化休闲廊道。同时规划构筑龙泉湖与淮河之间的生态廊道。</w:t>
      </w:r>
    </w:p>
    <w:p>
      <w:pPr>
        <w:spacing w:line="360" w:lineRule="auto"/>
        <w:rPr>
          <w:rFonts w:ascii="仿宋" w:hAnsi="仿宋" w:eastAsia="仿宋"/>
          <w:sz w:val="28"/>
          <w:szCs w:val="28"/>
        </w:rPr>
      </w:pPr>
      <w:r>
        <w:rPr>
          <w:rFonts w:hint="eastAsia" w:ascii="仿宋" w:hAnsi="仿宋" w:eastAsia="仿宋"/>
          <w:sz w:val="28"/>
          <w:szCs w:val="28"/>
        </w:rPr>
        <w:t>4、城区道路绿地景观风貌规划</w:t>
      </w:r>
    </w:p>
    <w:p>
      <w:pPr>
        <w:spacing w:line="360" w:lineRule="auto"/>
        <w:ind w:firstLine="560" w:firstLineChars="200"/>
        <w:rPr>
          <w:rFonts w:ascii="仿宋" w:hAnsi="仿宋" w:eastAsia="仿宋"/>
          <w:sz w:val="28"/>
          <w:szCs w:val="28"/>
        </w:rPr>
      </w:pPr>
      <w:r>
        <w:rPr>
          <w:rFonts w:hint="eastAsia" w:ascii="仿宋" w:hAnsi="仿宋" w:eastAsia="仿宋"/>
          <w:sz w:val="28"/>
          <w:szCs w:val="28"/>
        </w:rPr>
        <w:t>道路两侧规划控制绿带宽度；断面形式与功能侧重。园林景观路创造简洁开阔，</w:t>
      </w:r>
      <w:r>
        <w:rPr>
          <w:rFonts w:ascii="仿宋" w:hAnsi="仿宋" w:eastAsia="仿宋"/>
          <w:sz w:val="28"/>
          <w:szCs w:val="28"/>
        </w:rPr>
        <w:t>富有时代感的道路绿地景观体系。</w:t>
      </w:r>
      <w:r>
        <w:rPr>
          <w:rFonts w:hint="eastAsia" w:ascii="仿宋" w:hAnsi="仿宋" w:eastAsia="仿宋"/>
          <w:sz w:val="28"/>
          <w:szCs w:val="28"/>
        </w:rPr>
        <w:t>对外交通道路景观将城市与自然风光紧密结合，因地制宜，科学选择树种，建设“三季有花、四季常绿”外环生态道路景观体系。区内交通道路按照“一路一树、一路一景、一路一境”的要求，创造出总体统一、主次分明、特色突出的高品质的市内交通道路景观体系。</w:t>
      </w:r>
    </w:p>
    <w:p>
      <w:pPr>
        <w:pStyle w:val="4"/>
        <w:spacing w:line="360" w:lineRule="auto"/>
        <w:ind w:firstLine="0" w:firstLineChars="0"/>
        <w:rPr>
          <w:rFonts w:ascii="仿宋" w:hAnsi="仿宋" w:eastAsia="仿宋"/>
          <w:sz w:val="28"/>
          <w:szCs w:val="28"/>
        </w:rPr>
      </w:pPr>
      <w:r>
        <w:rPr>
          <w:rFonts w:hint="eastAsia" w:ascii="仿宋" w:hAnsi="仿宋" w:eastAsia="仿宋"/>
          <w:sz w:val="28"/>
          <w:szCs w:val="28"/>
        </w:rPr>
        <w:t>5、城市旅游观赏绿地景观风貌规划</w:t>
      </w:r>
    </w:p>
    <w:p>
      <w:pPr>
        <w:ind w:firstLine="560" w:firstLineChars="200"/>
        <w:rPr>
          <w:rFonts w:ascii="仿宋" w:hAnsi="仿宋" w:eastAsia="仿宋"/>
          <w:sz w:val="28"/>
          <w:szCs w:val="28"/>
        </w:rPr>
      </w:pPr>
      <w:r>
        <w:rPr>
          <w:rFonts w:hint="eastAsia" w:ascii="仿宋" w:hAnsi="仿宋" w:eastAsia="仿宋"/>
          <w:sz w:val="28"/>
          <w:szCs w:val="28"/>
        </w:rPr>
        <w:t>规划形成历史文化型、城市标志型、休闲娱乐型、附属生态观赏绿地及生态防护赏憩绿地景观。</w:t>
      </w: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十五、生物多样性保护与建设规划</w:t>
      </w:r>
    </w:p>
    <w:p>
      <w:pPr>
        <w:rPr>
          <w:rFonts w:ascii="仿宋" w:hAnsi="仿宋" w:eastAsia="仿宋"/>
          <w:sz w:val="28"/>
          <w:szCs w:val="28"/>
        </w:rPr>
      </w:pPr>
      <w:r>
        <w:rPr>
          <w:rFonts w:hint="eastAsia" w:ascii="仿宋" w:hAnsi="仿宋" w:eastAsia="仿宋"/>
          <w:sz w:val="28"/>
          <w:szCs w:val="28"/>
        </w:rPr>
        <w:t>1、规划目标与指标</w:t>
      </w:r>
    </w:p>
    <w:p>
      <w:pPr>
        <w:autoSpaceDE w:val="0"/>
        <w:autoSpaceDN w:val="0"/>
        <w:adjustRightInd w:val="0"/>
        <w:spacing w:line="360" w:lineRule="auto"/>
        <w:ind w:firstLine="560" w:firstLineChars="200"/>
        <w:rPr>
          <w:rFonts w:ascii="仿宋" w:hAnsi="仿宋" w:eastAsia="仿宋"/>
          <w:sz w:val="28"/>
          <w:szCs w:val="28"/>
        </w:rPr>
      </w:pPr>
      <w:r>
        <w:rPr>
          <w:rFonts w:hint="eastAsia" w:ascii="仿宋" w:hAnsi="仿宋" w:eastAsia="仿宋"/>
          <w:sz w:val="28"/>
          <w:szCs w:val="28"/>
        </w:rPr>
        <w:t>通过城市绿地系统植物多样性的培育，改善人与城市绿地系统之间、绿地系统内部生物与生态环境之间的关系，提高人居环境质量，为城市可持续发展创造条件。中心城区园林绿化树种的数量近期不低于150-200种，中期200-250种，远期300-350种。</w:t>
      </w:r>
    </w:p>
    <w:p>
      <w:pPr>
        <w:autoSpaceDE w:val="0"/>
        <w:autoSpaceDN w:val="0"/>
        <w:adjustRightInd w:val="0"/>
        <w:spacing w:line="360" w:lineRule="auto"/>
        <w:rPr>
          <w:rFonts w:ascii="仿宋" w:hAnsi="仿宋" w:eastAsia="仿宋"/>
          <w:sz w:val="28"/>
          <w:szCs w:val="28"/>
        </w:rPr>
      </w:pPr>
      <w:r>
        <w:rPr>
          <w:rFonts w:hint="eastAsia" w:ascii="仿宋" w:hAnsi="仿宋" w:eastAsia="仿宋"/>
          <w:sz w:val="28"/>
          <w:szCs w:val="28"/>
        </w:rPr>
        <w:t>2、城市绿化植物应用基本原则</w:t>
      </w:r>
    </w:p>
    <w:p>
      <w:pPr>
        <w:spacing w:line="360" w:lineRule="auto"/>
        <w:rPr>
          <w:rFonts w:ascii="仿宋" w:hAnsi="仿宋" w:eastAsia="仿宋"/>
          <w:sz w:val="28"/>
          <w:szCs w:val="28"/>
        </w:rPr>
      </w:pPr>
      <w:r>
        <w:rPr>
          <w:rFonts w:hint="eastAsia" w:ascii="仿宋" w:hAnsi="仿宋" w:eastAsia="仿宋"/>
          <w:sz w:val="28"/>
          <w:szCs w:val="28"/>
        </w:rPr>
        <w:t>（1）适地适树、本土特色；</w:t>
      </w:r>
    </w:p>
    <w:p>
      <w:pPr>
        <w:spacing w:line="360" w:lineRule="auto"/>
        <w:rPr>
          <w:rFonts w:ascii="仿宋" w:hAnsi="仿宋" w:eastAsia="仿宋"/>
          <w:sz w:val="28"/>
          <w:szCs w:val="28"/>
        </w:rPr>
      </w:pPr>
      <w:r>
        <w:rPr>
          <w:rFonts w:hint="eastAsia" w:ascii="仿宋" w:hAnsi="仿宋" w:eastAsia="仿宋"/>
          <w:sz w:val="28"/>
          <w:szCs w:val="28"/>
        </w:rPr>
        <w:t>（2）科学配置、结构合理；</w:t>
      </w:r>
    </w:p>
    <w:p>
      <w:pPr>
        <w:spacing w:line="360" w:lineRule="auto"/>
        <w:rPr>
          <w:rFonts w:ascii="仿宋" w:hAnsi="仿宋" w:eastAsia="仿宋"/>
          <w:sz w:val="28"/>
          <w:szCs w:val="28"/>
        </w:rPr>
      </w:pPr>
      <w:r>
        <w:rPr>
          <w:rFonts w:hint="eastAsia" w:ascii="仿宋" w:hAnsi="仿宋" w:eastAsia="仿宋"/>
          <w:sz w:val="28"/>
          <w:szCs w:val="28"/>
        </w:rPr>
        <w:t>（3）优化选择、安全卫士；</w:t>
      </w:r>
    </w:p>
    <w:p>
      <w:pPr>
        <w:spacing w:line="360" w:lineRule="auto"/>
        <w:rPr>
          <w:rFonts w:ascii="仿宋" w:hAnsi="仿宋" w:eastAsia="仿宋"/>
          <w:sz w:val="28"/>
          <w:szCs w:val="28"/>
        </w:rPr>
      </w:pPr>
      <w:r>
        <w:rPr>
          <w:rFonts w:hint="eastAsia" w:ascii="仿宋" w:hAnsi="仿宋" w:eastAsia="仿宋"/>
          <w:sz w:val="28"/>
          <w:szCs w:val="28"/>
        </w:rPr>
        <w:t>（4）满足功能、持续发展。</w:t>
      </w:r>
    </w:p>
    <w:p>
      <w:pPr>
        <w:spacing w:line="360" w:lineRule="auto"/>
        <w:rPr>
          <w:rFonts w:ascii="仿宋" w:hAnsi="仿宋" w:eastAsia="仿宋"/>
          <w:sz w:val="28"/>
          <w:szCs w:val="28"/>
        </w:rPr>
      </w:pPr>
      <w:r>
        <w:rPr>
          <w:rFonts w:hint="eastAsia" w:ascii="仿宋" w:hAnsi="仿宋" w:eastAsia="仿宋"/>
          <w:sz w:val="28"/>
          <w:szCs w:val="28"/>
        </w:rPr>
        <w:t>3、树种应用选择</w:t>
      </w:r>
    </w:p>
    <w:p>
      <w:pPr>
        <w:spacing w:line="360" w:lineRule="auto"/>
        <w:rPr>
          <w:rFonts w:ascii="仿宋" w:hAnsi="仿宋" w:eastAsia="仿宋"/>
          <w:sz w:val="28"/>
          <w:szCs w:val="28"/>
        </w:rPr>
      </w:pPr>
      <w:r>
        <w:rPr>
          <w:rFonts w:hint="eastAsia" w:ascii="仿宋" w:hAnsi="仿宋" w:eastAsia="仿宋"/>
          <w:sz w:val="28"/>
          <w:szCs w:val="28"/>
        </w:rPr>
        <w:t>（1）基调树种</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规划确定盱眙县基调树种为：银杏、香樟、朴树、国槐、楝树、垂柳6种。</w:t>
      </w:r>
    </w:p>
    <w:p>
      <w:pPr>
        <w:spacing w:line="360" w:lineRule="auto"/>
        <w:rPr>
          <w:rFonts w:ascii="仿宋" w:hAnsi="仿宋" w:eastAsia="仿宋"/>
          <w:sz w:val="28"/>
          <w:szCs w:val="28"/>
        </w:rPr>
      </w:pPr>
      <w:r>
        <w:rPr>
          <w:rFonts w:hint="eastAsia" w:ascii="仿宋" w:hAnsi="仿宋" w:eastAsia="仿宋"/>
          <w:sz w:val="28"/>
          <w:szCs w:val="28"/>
        </w:rPr>
        <w:t>（2）骨干树种</w:t>
      </w:r>
    </w:p>
    <w:p>
      <w:pPr>
        <w:autoSpaceDE w:val="0"/>
        <w:autoSpaceDN w:val="0"/>
        <w:adjustRightInd w:val="0"/>
        <w:spacing w:line="360" w:lineRule="auto"/>
        <w:ind w:firstLine="560" w:firstLineChars="200"/>
        <w:rPr>
          <w:rFonts w:ascii="仿宋" w:hAnsi="仿宋" w:eastAsia="仿宋"/>
          <w:sz w:val="28"/>
          <w:szCs w:val="28"/>
        </w:rPr>
      </w:pPr>
      <w:r>
        <w:rPr>
          <w:rFonts w:hint="eastAsia" w:ascii="仿宋" w:hAnsi="仿宋" w:eastAsia="仿宋"/>
          <w:sz w:val="28"/>
          <w:szCs w:val="28"/>
        </w:rPr>
        <w:t>规划推荐雪松、女贞、水杉、榉树、枫杨、黄连木、栾树、榆树、三角枫、枫香、悬铃木、合欢、无患子、苦楝、乌桕、薄壳山核桃、七叶树、红花槐等18种植物作为盱眙县园林绿化骨干树种（基调树种使用频率大于骨干树种）。</w:t>
      </w:r>
    </w:p>
    <w:p>
      <w:pPr>
        <w:pStyle w:val="4"/>
        <w:spacing w:line="360" w:lineRule="auto"/>
        <w:ind w:firstLine="0" w:firstLineChars="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盱眙</w:t>
      </w:r>
      <w:r>
        <w:rPr>
          <w:rFonts w:hint="eastAsia" w:ascii="仿宋" w:hAnsi="仿宋" w:eastAsia="仿宋"/>
          <w:sz w:val="28"/>
          <w:szCs w:val="28"/>
        </w:rPr>
        <w:t>城市</w:t>
      </w:r>
      <w:r>
        <w:rPr>
          <w:rFonts w:ascii="仿宋" w:hAnsi="仿宋" w:eastAsia="仿宋"/>
          <w:sz w:val="28"/>
          <w:szCs w:val="28"/>
        </w:rPr>
        <w:t>道路的树种选择及栽植方式优化</w:t>
      </w:r>
    </w:p>
    <w:p>
      <w:pPr>
        <w:spacing w:line="360" w:lineRule="auto"/>
        <w:ind w:firstLine="560" w:firstLineChars="200"/>
        <w:rPr>
          <w:rFonts w:ascii="仿宋" w:hAnsi="仿宋" w:eastAsia="仿宋"/>
          <w:sz w:val="28"/>
          <w:szCs w:val="28"/>
        </w:rPr>
      </w:pPr>
      <w:r>
        <w:rPr>
          <w:rFonts w:hint="eastAsia" w:ascii="仿宋" w:hAnsi="仿宋" w:eastAsia="仿宋"/>
          <w:sz w:val="28"/>
          <w:szCs w:val="28"/>
        </w:rPr>
        <w:t>体现盱眙特色、城市文化的高大乔木作为行道树；减少中层灌木的栽植量，形成大树+草坪的通透效果，减少管养难度;城市</w:t>
      </w:r>
      <w:r>
        <w:rPr>
          <w:rFonts w:ascii="仿宋" w:hAnsi="仿宋" w:eastAsia="仿宋"/>
          <w:sz w:val="28"/>
          <w:szCs w:val="28"/>
        </w:rPr>
        <w:t>主次干道</w:t>
      </w:r>
      <w:r>
        <w:rPr>
          <w:rFonts w:hint="eastAsia" w:ascii="仿宋" w:hAnsi="仿宋" w:eastAsia="仿宋"/>
          <w:sz w:val="28"/>
          <w:szCs w:val="28"/>
        </w:rPr>
        <w:t>构建一路一树或一路一景，形成特色鲜明，引导指示性强的道路绿地系统；主要推荐植物有：银杏、朴树、榔榆、榉树、鹅掌楸、枫香、合欢、红花槐、国槐、千头椿、苦楝、重阳木、乌桕、黄连木、三角枫、五角枫、栾树、无患子、梧桐、楸树、梓树、中山杉、墨西哥落羽等。</w:t>
      </w:r>
    </w:p>
    <w:p>
      <w:pPr>
        <w:spacing w:line="360" w:lineRule="auto"/>
        <w:rPr>
          <w:rFonts w:ascii="仿宋" w:hAnsi="仿宋" w:eastAsia="仿宋"/>
          <w:sz w:val="28"/>
          <w:szCs w:val="28"/>
        </w:rPr>
      </w:pPr>
      <w:r>
        <w:rPr>
          <w:rFonts w:hint="eastAsia" w:ascii="仿宋" w:hAnsi="仿宋" w:eastAsia="仿宋"/>
          <w:sz w:val="28"/>
          <w:szCs w:val="28"/>
        </w:rPr>
        <w:t>4、县树、县花</w:t>
      </w:r>
    </w:p>
    <w:p>
      <w:pPr>
        <w:spacing w:line="360" w:lineRule="auto"/>
        <w:ind w:firstLine="420" w:firstLineChars="150"/>
        <w:rPr>
          <w:rFonts w:ascii="仿宋" w:hAnsi="仿宋" w:eastAsia="仿宋"/>
          <w:sz w:val="28"/>
          <w:szCs w:val="28"/>
        </w:rPr>
      </w:pPr>
      <w:r>
        <w:rPr>
          <w:rFonts w:hint="eastAsia" w:ascii="仿宋" w:hAnsi="仿宋" w:eastAsia="仿宋"/>
          <w:sz w:val="28"/>
          <w:szCs w:val="28"/>
        </w:rPr>
        <w:t>县树</w:t>
      </w:r>
      <w:r>
        <w:rPr>
          <w:rFonts w:ascii="仿宋" w:hAnsi="仿宋" w:eastAsia="仿宋"/>
          <w:sz w:val="28"/>
          <w:szCs w:val="28"/>
        </w:rPr>
        <w:t>——</w:t>
      </w:r>
      <w:r>
        <w:rPr>
          <w:rFonts w:hint="eastAsia" w:ascii="仿宋" w:hAnsi="仿宋" w:eastAsia="仿宋"/>
          <w:sz w:val="28"/>
          <w:szCs w:val="28"/>
        </w:rPr>
        <w:t>国槐；县花</w:t>
      </w:r>
      <w:r>
        <w:rPr>
          <w:rFonts w:ascii="仿宋" w:hAnsi="仿宋" w:eastAsia="仿宋"/>
          <w:sz w:val="28"/>
          <w:szCs w:val="28"/>
        </w:rPr>
        <w:t>——都梁香兰</w:t>
      </w:r>
    </w:p>
    <w:p>
      <w:pPr>
        <w:autoSpaceDE w:val="0"/>
        <w:autoSpaceDN w:val="0"/>
        <w:adjustRightInd w:val="0"/>
        <w:spacing w:line="360" w:lineRule="auto"/>
        <w:rPr>
          <w:rFonts w:ascii="仿宋" w:hAnsi="仿宋" w:eastAsia="仿宋"/>
          <w:sz w:val="32"/>
          <w:szCs w:val="32"/>
        </w:rPr>
      </w:pPr>
    </w:p>
    <w:p>
      <w:pPr>
        <w:pStyle w:val="2"/>
        <w:spacing w:before="156" w:beforeLines="50" w:after="156" w:afterLines="50" w:line="360" w:lineRule="auto"/>
        <w:jc w:val="left"/>
        <w:rPr>
          <w:rFonts w:ascii="仿宋" w:hAnsi="仿宋" w:eastAsia="仿宋"/>
          <w:b/>
          <w:sz w:val="32"/>
          <w:szCs w:val="32"/>
        </w:rPr>
      </w:pPr>
      <w:r>
        <w:rPr>
          <w:rFonts w:hint="eastAsia" w:ascii="仿宋" w:hAnsi="仿宋" w:eastAsia="仿宋"/>
          <w:b/>
          <w:sz w:val="32"/>
          <w:szCs w:val="32"/>
        </w:rPr>
        <w:t>公示附图</w:t>
      </w:r>
    </w:p>
    <w:p>
      <w:pPr>
        <w:pStyle w:val="26"/>
        <w:numPr>
          <w:ilvl w:val="0"/>
          <w:numId w:val="1"/>
        </w:numPr>
        <w:ind w:firstLineChars="0"/>
        <w:rPr>
          <w:rFonts w:ascii="仿宋" w:hAnsi="仿宋" w:eastAsia="仿宋"/>
          <w:sz w:val="28"/>
          <w:szCs w:val="28"/>
        </w:rPr>
      </w:pPr>
      <w:r>
        <w:rPr>
          <w:rFonts w:hint="eastAsia" w:ascii="仿宋" w:hAnsi="仿宋" w:eastAsia="仿宋"/>
          <w:sz w:val="28"/>
          <w:szCs w:val="28"/>
        </w:rPr>
        <w:t>盱眙县县域</w:t>
      </w:r>
      <w:r>
        <w:rPr>
          <w:rFonts w:ascii="仿宋" w:hAnsi="仿宋" w:eastAsia="仿宋"/>
          <w:sz w:val="28"/>
          <w:szCs w:val="28"/>
        </w:rPr>
        <w:t>绿地规划</w:t>
      </w:r>
      <w:r>
        <w:rPr>
          <w:rFonts w:hint="eastAsia" w:ascii="仿宋" w:hAnsi="仿宋" w:eastAsia="仿宋"/>
          <w:sz w:val="28"/>
          <w:szCs w:val="28"/>
        </w:rPr>
        <w:t>结构</w:t>
      </w:r>
      <w:r>
        <w:rPr>
          <w:rFonts w:ascii="仿宋" w:hAnsi="仿宋" w:eastAsia="仿宋"/>
          <w:sz w:val="28"/>
          <w:szCs w:val="28"/>
        </w:rPr>
        <w:t>图——</w:t>
      </w:r>
    </w:p>
    <w:p>
      <w:pPr>
        <w:rPr>
          <w:rFonts w:hint="eastAsia" w:ascii="仿宋" w:hAnsi="仿宋" w:eastAsia="仿宋"/>
          <w:sz w:val="32"/>
          <w:szCs w:val="32"/>
        </w:rPr>
      </w:pPr>
      <w:r>
        <w:drawing>
          <wp:inline distT="0" distB="0" distL="0" distR="0">
            <wp:extent cx="5228590" cy="36791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656"/>
                    <a:stretch>
                      <a:fillRect/>
                    </a:stretch>
                  </pic:blipFill>
                  <pic:spPr>
                    <a:xfrm>
                      <a:off x="0" y="0"/>
                      <a:ext cx="5249603" cy="3694005"/>
                    </a:xfrm>
                    <a:prstGeom prst="rect">
                      <a:avLst/>
                    </a:prstGeom>
                    <a:ln>
                      <a:noFill/>
                    </a:ln>
                  </pic:spPr>
                </pic:pic>
              </a:graphicData>
            </a:graphic>
          </wp:inline>
        </w:drawing>
      </w:r>
    </w:p>
    <w:p>
      <w:pPr>
        <w:pStyle w:val="26"/>
        <w:numPr>
          <w:ilvl w:val="0"/>
          <w:numId w:val="1"/>
        </w:numPr>
        <w:ind w:firstLineChars="0"/>
        <w:rPr>
          <w:rFonts w:hint="eastAsia" w:ascii="仿宋" w:hAnsi="仿宋" w:eastAsia="仿宋"/>
          <w:sz w:val="28"/>
          <w:szCs w:val="28"/>
        </w:rPr>
      </w:pPr>
      <w:r>
        <w:rPr>
          <w:rFonts w:hint="eastAsia" w:ascii="仿宋" w:hAnsi="仿宋" w:eastAsia="仿宋"/>
          <w:sz w:val="28"/>
          <w:szCs w:val="28"/>
        </w:rPr>
        <w:t>盱眙县</w:t>
      </w:r>
      <w:r>
        <w:rPr>
          <w:rFonts w:ascii="仿宋" w:hAnsi="仿宋" w:eastAsia="仿宋"/>
          <w:sz w:val="28"/>
          <w:szCs w:val="28"/>
        </w:rPr>
        <w:t>中心城区绿地系统规划结构图——</w:t>
      </w:r>
    </w:p>
    <w:p>
      <w:r>
        <w:drawing>
          <wp:inline distT="0" distB="0" distL="0" distR="0">
            <wp:extent cx="5264150" cy="37122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5"/>
                    <a:srcRect l="1152" b="1312"/>
                    <a:stretch>
                      <a:fillRect/>
                    </a:stretch>
                  </pic:blipFill>
                  <pic:spPr>
                    <a:xfrm>
                      <a:off x="0" y="0"/>
                      <a:ext cx="5274765" cy="3719580"/>
                    </a:xfrm>
                    <a:prstGeom prst="rect">
                      <a:avLst/>
                    </a:prstGeom>
                    <a:noFill/>
                    <a:ln w="9525">
                      <a:noFill/>
                      <a:miter lim="800000"/>
                      <a:headEnd/>
                      <a:tailEnd/>
                    </a:ln>
                  </pic:spPr>
                </pic:pic>
              </a:graphicData>
            </a:graphic>
          </wp:inline>
        </w:drawing>
      </w:r>
    </w:p>
    <w:p>
      <w:pPr>
        <w:pStyle w:val="26"/>
        <w:numPr>
          <w:ilvl w:val="0"/>
          <w:numId w:val="1"/>
        </w:numPr>
        <w:ind w:firstLineChars="0"/>
        <w:rPr>
          <w:rFonts w:hint="eastAsia" w:ascii="仿宋" w:hAnsi="仿宋" w:eastAsia="仿宋"/>
          <w:sz w:val="32"/>
          <w:szCs w:val="32"/>
        </w:rPr>
      </w:pPr>
      <w:r>
        <w:rPr>
          <w:rFonts w:hint="eastAsia" w:ascii="仿宋" w:hAnsi="仿宋" w:eastAsia="仿宋"/>
          <w:sz w:val="32"/>
          <w:szCs w:val="32"/>
        </w:rPr>
        <w:t>盱眙县</w:t>
      </w:r>
      <w:r>
        <w:rPr>
          <w:rFonts w:ascii="仿宋" w:hAnsi="仿宋" w:eastAsia="仿宋"/>
          <w:sz w:val="32"/>
          <w:szCs w:val="32"/>
        </w:rPr>
        <w:t>中心城区公园绿地规划图</w:t>
      </w:r>
      <w:r>
        <w:rPr>
          <w:rFonts w:hint="eastAsia" w:ascii="仿宋" w:hAnsi="仿宋" w:eastAsia="仿宋"/>
          <w:sz w:val="32"/>
          <w:szCs w:val="32"/>
        </w:rPr>
        <w:t>——</w:t>
      </w:r>
    </w:p>
    <w:p>
      <w:pPr>
        <w:rPr>
          <w:rFonts w:hint="eastAsia" w:ascii="仿宋" w:hAnsi="仿宋" w:eastAsia="仿宋"/>
          <w:sz w:val="32"/>
          <w:szCs w:val="32"/>
        </w:rPr>
      </w:pPr>
      <w:r>
        <w:drawing>
          <wp:inline distT="0" distB="0" distL="0" distR="0">
            <wp:extent cx="5223510" cy="3692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33860" cy="3700288"/>
                    </a:xfrm>
                    <a:prstGeom prst="rect">
                      <a:avLst/>
                    </a:prstGeom>
                  </pic:spPr>
                </pic:pic>
              </a:graphicData>
            </a:graphic>
          </wp:inline>
        </w:drawing>
      </w:r>
    </w:p>
    <w:p>
      <w:pPr>
        <w:pStyle w:val="26"/>
        <w:numPr>
          <w:ilvl w:val="0"/>
          <w:numId w:val="1"/>
        </w:numPr>
        <w:ind w:firstLineChars="0"/>
        <w:rPr>
          <w:rFonts w:hint="eastAsia" w:ascii="仿宋" w:hAnsi="仿宋" w:eastAsia="仿宋"/>
          <w:sz w:val="32"/>
          <w:szCs w:val="32"/>
        </w:rPr>
      </w:pPr>
      <w:r>
        <w:rPr>
          <w:rFonts w:hint="eastAsia" w:ascii="仿宋" w:hAnsi="仿宋" w:eastAsia="仿宋"/>
          <w:sz w:val="32"/>
          <w:szCs w:val="32"/>
        </w:rPr>
        <w:t>盱眙县</w:t>
      </w:r>
      <w:r>
        <w:rPr>
          <w:rFonts w:ascii="仿宋" w:hAnsi="仿宋" w:eastAsia="仿宋"/>
          <w:sz w:val="32"/>
          <w:szCs w:val="32"/>
        </w:rPr>
        <w:t>中心城区公园绿地规划图</w:t>
      </w:r>
      <w:r>
        <w:rPr>
          <w:rFonts w:hint="eastAsia" w:ascii="仿宋" w:hAnsi="仿宋" w:eastAsia="仿宋"/>
          <w:sz w:val="32"/>
          <w:szCs w:val="32"/>
        </w:rPr>
        <w:t>——</w:t>
      </w:r>
    </w:p>
    <w:p>
      <w:pPr>
        <w:widowControl/>
        <w:spacing w:line="360" w:lineRule="auto"/>
        <w:jc w:val="left"/>
        <w:rPr>
          <w:rFonts w:ascii="宋体" w:hAnsi="宋体"/>
          <w:sz w:val="24"/>
        </w:rPr>
      </w:pPr>
      <w:r>
        <w:drawing>
          <wp:inline distT="0" distB="0" distL="0" distR="0">
            <wp:extent cx="5228590" cy="3691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8324" cy="3698221"/>
                    </a:xfrm>
                    <a:prstGeom prst="rect">
                      <a:avLst/>
                    </a:prstGeom>
                  </pic:spPr>
                </pic:pic>
              </a:graphicData>
            </a:graphic>
          </wp:inline>
        </w:drawing>
      </w:r>
    </w:p>
    <w:p>
      <w:pPr>
        <w:widowControl/>
        <w:spacing w:line="360" w:lineRule="auto"/>
        <w:ind w:firstLine="420"/>
        <w:jc w:val="left"/>
        <w:rPr>
          <w:rFonts w:ascii="宋体" w:hAnsi="宋体"/>
          <w:sz w:val="24"/>
        </w:rPr>
      </w:pPr>
    </w:p>
    <w:p>
      <w:pPr>
        <w:widowControl/>
        <w:spacing w:line="360" w:lineRule="auto"/>
        <w:ind w:firstLine="700" w:firstLineChars="250"/>
        <w:jc w:val="left"/>
        <w:rPr>
          <w:rFonts w:ascii="仿宋" w:hAnsi="仿宋" w:eastAsia="仿宋"/>
          <w:sz w:val="28"/>
          <w:szCs w:val="28"/>
        </w:rPr>
      </w:pPr>
      <w:r>
        <w:rPr>
          <w:rFonts w:hint="eastAsia" w:ascii="仿宋" w:hAnsi="仿宋" w:eastAsia="仿宋"/>
          <w:sz w:val="28"/>
          <w:szCs w:val="28"/>
        </w:rPr>
        <w:t>为广泛征求社会各界和相关利益人的意见和建议，根据《中华人民共和国城乡规划法》等相关法律规定，现按程序将该方案进行批前公示。</w:t>
      </w:r>
    </w:p>
    <w:p>
      <w:pPr>
        <w:widowControl/>
        <w:spacing w:line="360" w:lineRule="auto"/>
        <w:ind w:firstLine="560" w:firstLineChars="200"/>
        <w:jc w:val="left"/>
        <w:rPr>
          <w:rFonts w:ascii="仿宋" w:hAnsi="仿宋" w:eastAsia="仿宋"/>
          <w:color w:val="FF0000"/>
          <w:sz w:val="28"/>
          <w:szCs w:val="28"/>
        </w:rPr>
      </w:pPr>
      <w:r>
        <w:rPr>
          <w:rFonts w:hint="eastAsia" w:ascii="仿宋" w:hAnsi="仿宋" w:eastAsia="仿宋"/>
          <w:color w:val="FF0000"/>
          <w:sz w:val="28"/>
          <w:szCs w:val="28"/>
        </w:rPr>
        <w:t>1.公示</w:t>
      </w:r>
      <w:r>
        <w:rPr>
          <w:rFonts w:ascii="仿宋" w:hAnsi="仿宋" w:eastAsia="仿宋"/>
          <w:color w:val="FF0000"/>
          <w:sz w:val="28"/>
          <w:szCs w:val="28"/>
        </w:rPr>
        <w:t>时间：</w:t>
      </w:r>
      <w:r>
        <w:rPr>
          <w:rFonts w:hint="eastAsia" w:ascii="仿宋" w:hAnsi="仿宋" w:eastAsia="仿宋"/>
          <w:color w:val="FF0000"/>
          <w:sz w:val="28"/>
          <w:szCs w:val="28"/>
        </w:rPr>
        <w:t>20</w:t>
      </w:r>
      <w:r>
        <w:rPr>
          <w:rFonts w:ascii="仿宋" w:hAnsi="仿宋" w:eastAsia="仿宋"/>
          <w:color w:val="FF0000"/>
          <w:sz w:val="28"/>
          <w:szCs w:val="28"/>
        </w:rPr>
        <w:t>20</w:t>
      </w:r>
      <w:r>
        <w:rPr>
          <w:rFonts w:hint="eastAsia" w:ascii="仿宋" w:hAnsi="仿宋" w:eastAsia="仿宋"/>
          <w:color w:val="FF0000"/>
          <w:sz w:val="28"/>
          <w:szCs w:val="28"/>
        </w:rPr>
        <w:t>年</w:t>
      </w:r>
      <w:r>
        <w:rPr>
          <w:rFonts w:ascii="仿宋" w:hAnsi="仿宋" w:eastAsia="仿宋"/>
          <w:color w:val="FF0000"/>
          <w:sz w:val="28"/>
          <w:szCs w:val="28"/>
        </w:rPr>
        <w:t>11</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16</w:t>
      </w:r>
      <w:r>
        <w:rPr>
          <w:rFonts w:hint="eastAsia" w:ascii="仿宋" w:hAnsi="仿宋" w:eastAsia="仿宋"/>
          <w:color w:val="FF0000"/>
          <w:sz w:val="28"/>
          <w:szCs w:val="28"/>
        </w:rPr>
        <w:t>日</w:t>
      </w:r>
      <w:r>
        <w:rPr>
          <w:rFonts w:ascii="仿宋" w:hAnsi="仿宋" w:eastAsia="仿宋"/>
          <w:color w:val="FF0000"/>
          <w:sz w:val="28"/>
          <w:szCs w:val="28"/>
        </w:rPr>
        <w:t>—</w:t>
      </w:r>
      <w:r>
        <w:rPr>
          <w:rFonts w:hint="eastAsia" w:ascii="仿宋" w:hAnsi="仿宋" w:eastAsia="仿宋"/>
          <w:color w:val="FF0000"/>
          <w:sz w:val="28"/>
          <w:szCs w:val="28"/>
        </w:rPr>
        <w:t>20</w:t>
      </w:r>
      <w:r>
        <w:rPr>
          <w:rFonts w:ascii="仿宋" w:hAnsi="仿宋" w:eastAsia="仿宋"/>
          <w:color w:val="FF0000"/>
          <w:sz w:val="28"/>
          <w:szCs w:val="28"/>
        </w:rPr>
        <w:t>20</w:t>
      </w:r>
      <w:r>
        <w:rPr>
          <w:rFonts w:hint="eastAsia" w:ascii="仿宋" w:hAnsi="仿宋" w:eastAsia="仿宋"/>
          <w:color w:val="FF0000"/>
          <w:sz w:val="28"/>
          <w:szCs w:val="28"/>
        </w:rPr>
        <w:t>年</w:t>
      </w:r>
      <w:r>
        <w:rPr>
          <w:rFonts w:ascii="仿宋" w:hAnsi="仿宋" w:eastAsia="仿宋"/>
          <w:color w:val="FF0000"/>
          <w:sz w:val="28"/>
          <w:szCs w:val="28"/>
        </w:rPr>
        <w:t>12</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16</w:t>
      </w:r>
      <w:r>
        <w:rPr>
          <w:rFonts w:hint="eastAsia" w:ascii="仿宋" w:hAnsi="仿宋" w:eastAsia="仿宋"/>
          <w:color w:val="FF0000"/>
          <w:sz w:val="28"/>
          <w:szCs w:val="28"/>
        </w:rPr>
        <w:t>日（有效反馈意见时间为公示期间）</w:t>
      </w:r>
    </w:p>
    <w:p>
      <w:pPr>
        <w:widowControl/>
        <w:spacing w:line="360" w:lineRule="auto"/>
        <w:ind w:firstLine="560" w:firstLineChars="200"/>
        <w:jc w:val="left"/>
        <w:rPr>
          <w:rFonts w:ascii="仿宋" w:hAnsi="仿宋" w:eastAsia="仿宋"/>
          <w:color w:val="FF0000"/>
          <w:sz w:val="28"/>
          <w:szCs w:val="28"/>
        </w:rPr>
      </w:pPr>
      <w:r>
        <w:rPr>
          <w:rFonts w:ascii="仿宋" w:hAnsi="仿宋" w:eastAsia="仿宋"/>
          <w:color w:val="FF0000"/>
          <w:sz w:val="28"/>
          <w:szCs w:val="28"/>
        </w:rPr>
        <w:t>2.</w:t>
      </w:r>
      <w:r>
        <w:rPr>
          <w:rFonts w:hint="eastAsia" w:ascii="仿宋" w:hAnsi="仿宋" w:eastAsia="仿宋"/>
          <w:color w:val="FF0000"/>
          <w:sz w:val="28"/>
          <w:szCs w:val="28"/>
        </w:rPr>
        <w:t>公示</w:t>
      </w:r>
      <w:r>
        <w:rPr>
          <w:rFonts w:ascii="仿宋" w:hAnsi="仿宋" w:eastAsia="仿宋"/>
          <w:color w:val="FF0000"/>
          <w:sz w:val="28"/>
          <w:szCs w:val="28"/>
        </w:rPr>
        <w:t>地点：盱眙县人民政府网</w:t>
      </w:r>
      <w:r>
        <w:rPr>
          <w:rFonts w:hint="eastAsia" w:ascii="仿宋" w:hAnsi="仿宋" w:eastAsia="仿宋"/>
          <w:color w:val="FF0000"/>
          <w:sz w:val="28"/>
          <w:szCs w:val="28"/>
        </w:rPr>
        <w:t>（</w:t>
      </w:r>
      <w:r>
        <w:rPr>
          <w:rFonts w:ascii="仿宋" w:hAnsi="仿宋" w:eastAsia="仿宋"/>
          <w:color w:val="FF0000"/>
          <w:sz w:val="28"/>
          <w:szCs w:val="28"/>
        </w:rPr>
        <w:t>http://www.xuyi.gov.cn/）</w:t>
      </w:r>
    </w:p>
    <w:p>
      <w:pPr>
        <w:pStyle w:val="12"/>
        <w:shd w:val="clear" w:color="auto" w:fill="FFFFFF"/>
        <w:spacing w:line="360" w:lineRule="atLeast"/>
        <w:ind w:firstLine="560" w:firstLineChars="200"/>
        <w:rPr>
          <w:rFonts w:ascii="仿宋" w:hAnsi="仿宋" w:eastAsia="仿宋" w:cs="Times New Roman"/>
          <w:color w:val="FF0000"/>
          <w:kern w:val="2"/>
          <w:sz w:val="28"/>
          <w:szCs w:val="28"/>
        </w:rPr>
      </w:pPr>
      <w:r>
        <w:rPr>
          <w:rFonts w:ascii="仿宋" w:hAnsi="仿宋" w:eastAsia="仿宋" w:cs="Times New Roman"/>
          <w:color w:val="FF0000"/>
          <w:kern w:val="2"/>
          <w:sz w:val="28"/>
          <w:szCs w:val="28"/>
        </w:rPr>
        <w:t>3.</w:t>
      </w:r>
      <w:r>
        <w:rPr>
          <w:rFonts w:hint="eastAsia" w:ascii="仿宋" w:hAnsi="仿宋" w:eastAsia="仿宋" w:cs="Times New Roman"/>
          <w:color w:val="FF0000"/>
          <w:kern w:val="2"/>
          <w:sz w:val="28"/>
          <w:szCs w:val="28"/>
        </w:rPr>
        <w:t>公示意见反馈方式：</w:t>
      </w:r>
    </w:p>
    <w:p>
      <w:pPr>
        <w:pStyle w:val="12"/>
        <w:shd w:val="clear" w:color="auto" w:fill="FFFFFF"/>
        <w:spacing w:line="360" w:lineRule="atLeast"/>
        <w:ind w:firstLine="630"/>
        <w:rPr>
          <w:rFonts w:ascii="仿宋" w:hAnsi="仿宋" w:eastAsia="仿宋" w:cs="Times New Roman"/>
          <w:color w:val="FF0000"/>
          <w:kern w:val="2"/>
          <w:sz w:val="28"/>
          <w:szCs w:val="28"/>
        </w:rPr>
      </w:pPr>
      <w:r>
        <w:rPr>
          <w:rFonts w:hint="eastAsia" w:ascii="仿宋" w:hAnsi="仿宋" w:eastAsia="仿宋" w:cs="Times New Roman"/>
          <w:color w:val="FF0000"/>
          <w:kern w:val="2"/>
          <w:sz w:val="28"/>
          <w:szCs w:val="28"/>
        </w:rPr>
        <w:t>①电子邮件请发送到：</w:t>
      </w:r>
      <w:r>
        <w:rPr>
          <w:rFonts w:hint="eastAsia" w:ascii="仿宋" w:hAnsi="仿宋" w:eastAsia="仿宋" w:cs="Times New Roman"/>
          <w:color w:val="FF0000"/>
          <w:kern w:val="2"/>
          <w:sz w:val="28"/>
          <w:szCs w:val="28"/>
          <w:lang w:val="en-US" w:eastAsia="zh-CN"/>
        </w:rPr>
        <w:t>www.js-</w:t>
      </w:r>
      <w:r>
        <w:fldChar w:fldCharType="begin"/>
      </w:r>
      <w:r>
        <w:instrText xml:space="preserve"> HYPERLINK "mailto:652145608@qq.com" </w:instrText>
      </w:r>
      <w:r>
        <w:fldChar w:fldCharType="separate"/>
      </w:r>
      <w:r>
        <w:rPr>
          <w:rStyle w:val="17"/>
          <w:rFonts w:hint="eastAsia" w:ascii="仿宋" w:hAnsi="仿宋" w:eastAsia="仿宋" w:cs="Times New Roman"/>
          <w:color w:val="FF0000"/>
          <w:kern w:val="2"/>
          <w:sz w:val="28"/>
          <w:szCs w:val="28"/>
          <w:lang w:val="en-US" w:eastAsia="zh-CN"/>
        </w:rPr>
        <w:t>xyyl</w:t>
      </w:r>
      <w:r>
        <w:rPr>
          <w:rStyle w:val="17"/>
          <w:rFonts w:hint="eastAsia" w:ascii="仿宋" w:hAnsi="仿宋" w:eastAsia="仿宋" w:cs="Times New Roman"/>
          <w:color w:val="FF0000"/>
          <w:kern w:val="2"/>
          <w:sz w:val="28"/>
          <w:szCs w:val="28"/>
        </w:rPr>
        <w:t>@</w:t>
      </w:r>
      <w:r>
        <w:rPr>
          <w:rStyle w:val="17"/>
          <w:rFonts w:hint="eastAsia" w:ascii="仿宋" w:hAnsi="仿宋" w:eastAsia="仿宋" w:cs="Times New Roman"/>
          <w:color w:val="FF0000"/>
          <w:kern w:val="2"/>
          <w:sz w:val="28"/>
          <w:szCs w:val="28"/>
          <w:lang w:val="en-US" w:eastAsia="zh-CN"/>
        </w:rPr>
        <w:t>163</w:t>
      </w:r>
      <w:r>
        <w:rPr>
          <w:rStyle w:val="17"/>
          <w:rFonts w:hint="eastAsia" w:ascii="仿宋" w:hAnsi="仿宋" w:eastAsia="仿宋" w:cs="Times New Roman"/>
          <w:color w:val="FF0000"/>
          <w:kern w:val="2"/>
          <w:sz w:val="28"/>
          <w:szCs w:val="28"/>
        </w:rPr>
        <w:t>.com</w:t>
      </w:r>
      <w:r>
        <w:rPr>
          <w:rStyle w:val="17"/>
          <w:rFonts w:hint="eastAsia" w:ascii="仿宋" w:hAnsi="仿宋" w:eastAsia="仿宋" w:cs="Times New Roman"/>
          <w:color w:val="FF0000"/>
          <w:kern w:val="2"/>
          <w:sz w:val="28"/>
          <w:szCs w:val="28"/>
        </w:rPr>
        <w:fldChar w:fldCharType="end"/>
      </w:r>
      <w:r>
        <w:rPr>
          <w:rFonts w:hint="eastAsia" w:ascii="仿宋" w:hAnsi="仿宋" w:eastAsia="仿宋" w:cs="Times New Roman"/>
          <w:color w:val="FF0000"/>
          <w:kern w:val="2"/>
          <w:sz w:val="28"/>
          <w:szCs w:val="28"/>
        </w:rPr>
        <w:t>;②</w:t>
      </w:r>
      <w:bookmarkStart w:id="7" w:name="_GoBack"/>
      <w:bookmarkEnd w:id="7"/>
      <w:r>
        <w:rPr>
          <w:rFonts w:hint="eastAsia" w:ascii="仿宋" w:hAnsi="仿宋" w:eastAsia="仿宋" w:cs="Times New Roman"/>
          <w:color w:val="FF0000"/>
          <w:kern w:val="2"/>
          <w:sz w:val="28"/>
          <w:szCs w:val="28"/>
        </w:rPr>
        <w:t>书面意见请邮寄到盱眙县</w:t>
      </w:r>
      <w:r>
        <w:rPr>
          <w:rFonts w:hint="eastAsia" w:ascii="仿宋" w:hAnsi="仿宋" w:eastAsia="仿宋" w:cs="Times New Roman"/>
          <w:color w:val="FF0000"/>
          <w:kern w:val="2"/>
          <w:sz w:val="28"/>
          <w:szCs w:val="28"/>
          <w:lang w:eastAsia="zh-CN"/>
        </w:rPr>
        <w:t>园林绿化管理中心</w:t>
      </w:r>
      <w:r>
        <w:rPr>
          <w:rFonts w:hint="eastAsia" w:ascii="仿宋" w:hAnsi="仿宋" w:eastAsia="仿宋" w:cs="Times New Roman"/>
          <w:color w:val="FF0000"/>
          <w:kern w:val="2"/>
          <w:sz w:val="28"/>
          <w:szCs w:val="28"/>
        </w:rPr>
        <w:t>，邮政编码：</w:t>
      </w:r>
      <w:r>
        <w:rPr>
          <w:rFonts w:ascii="仿宋" w:hAnsi="仿宋" w:eastAsia="仿宋" w:cs="Times New Roman"/>
          <w:color w:val="FF0000"/>
          <w:kern w:val="2"/>
          <w:sz w:val="28"/>
          <w:szCs w:val="28"/>
        </w:rPr>
        <w:t>211700</w:t>
      </w:r>
      <w:r>
        <w:rPr>
          <w:rFonts w:hint="eastAsia" w:ascii="仿宋" w:hAnsi="仿宋" w:eastAsia="仿宋" w:cs="Times New Roman"/>
          <w:color w:val="FF0000"/>
          <w:kern w:val="2"/>
          <w:sz w:val="28"/>
          <w:szCs w:val="28"/>
        </w:rPr>
        <w:t>；③意见或建议应在公示期限内提出，逾期未反馈，将视为无意见。</w:t>
      </w:r>
    </w:p>
    <w:p>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tLeast"/>
        <w:ind w:firstLine="560" w:firstLineChars="200"/>
        <w:textAlignment w:val="auto"/>
        <w:rPr>
          <w:rFonts w:hint="eastAsia" w:ascii="仿宋" w:hAnsi="仿宋" w:eastAsia="仿宋"/>
          <w:color w:val="FF0000"/>
          <w:sz w:val="28"/>
          <w:szCs w:val="28"/>
          <w:lang w:eastAsia="zh-CN"/>
        </w:rPr>
      </w:pPr>
      <w:r>
        <w:rPr>
          <w:rFonts w:hint="eastAsia" w:ascii="仿宋" w:hAnsi="仿宋" w:eastAsia="仿宋"/>
          <w:color w:val="FF0000"/>
          <w:sz w:val="28"/>
          <w:szCs w:val="28"/>
          <w:lang w:val="en-US" w:eastAsia="zh-CN"/>
        </w:rPr>
        <w:t>4.</w:t>
      </w:r>
      <w:r>
        <w:rPr>
          <w:rFonts w:hint="eastAsia" w:ascii="仿宋" w:hAnsi="仿宋" w:eastAsia="仿宋"/>
          <w:color w:val="FF0000"/>
          <w:sz w:val="28"/>
          <w:szCs w:val="28"/>
        </w:rPr>
        <w:t>联系电话</w:t>
      </w:r>
      <w:r>
        <w:rPr>
          <w:rFonts w:ascii="仿宋" w:hAnsi="仿宋" w:eastAsia="仿宋"/>
          <w:color w:val="FF0000"/>
          <w:sz w:val="28"/>
          <w:szCs w:val="28"/>
        </w:rPr>
        <w:t>：</w:t>
      </w:r>
      <w:r>
        <w:rPr>
          <w:rFonts w:hint="eastAsia" w:ascii="仿宋" w:hAnsi="仿宋" w:eastAsia="仿宋"/>
          <w:color w:val="FF0000"/>
          <w:spacing w:val="-20"/>
          <w:sz w:val="28"/>
          <w:szCs w:val="28"/>
        </w:rPr>
        <w:t>0517-8</w:t>
      </w:r>
      <w:r>
        <w:rPr>
          <w:rFonts w:hint="eastAsia" w:ascii="仿宋" w:hAnsi="仿宋" w:eastAsia="仿宋"/>
          <w:color w:val="FF0000"/>
          <w:spacing w:val="-20"/>
          <w:sz w:val="28"/>
          <w:szCs w:val="28"/>
          <w:lang w:val="en-US" w:eastAsia="zh-CN"/>
        </w:rPr>
        <w:t>8279633、0517-88277207</w:t>
      </w:r>
      <w:r>
        <w:rPr>
          <w:rFonts w:hint="eastAsia" w:ascii="仿宋" w:hAnsi="仿宋" w:eastAsia="仿宋"/>
          <w:color w:val="FF0000"/>
          <w:sz w:val="28"/>
          <w:szCs w:val="28"/>
        </w:rPr>
        <w:t>联系人</w:t>
      </w:r>
      <w:r>
        <w:rPr>
          <w:rFonts w:ascii="仿宋" w:hAnsi="仿宋" w:eastAsia="仿宋"/>
          <w:color w:val="FF0000"/>
          <w:sz w:val="28"/>
          <w:szCs w:val="28"/>
        </w:rPr>
        <w:t>：</w:t>
      </w:r>
      <w:r>
        <w:rPr>
          <w:rFonts w:hint="eastAsia" w:ascii="仿宋" w:hAnsi="仿宋" w:eastAsia="仿宋"/>
          <w:color w:val="FF0000"/>
          <w:sz w:val="28"/>
          <w:szCs w:val="28"/>
          <w:lang w:eastAsia="zh-CN"/>
        </w:rPr>
        <w:t>陈献礼</w:t>
      </w:r>
      <w:r>
        <w:rPr>
          <w:rFonts w:hint="eastAsia" w:ascii="仿宋" w:hAnsi="仿宋" w:eastAsia="仿宋"/>
          <w:color w:val="FF0000"/>
          <w:sz w:val="28"/>
          <w:szCs w:val="28"/>
          <w:lang w:val="en-US" w:eastAsia="zh-CN"/>
        </w:rPr>
        <w:t xml:space="preserve"> 章明祥</w:t>
      </w:r>
    </w:p>
    <w:p>
      <w:pPr>
        <w:pStyle w:val="12"/>
        <w:numPr>
          <w:ilvl w:val="0"/>
          <w:numId w:val="0"/>
        </w:numPr>
        <w:shd w:val="clear" w:color="auto" w:fill="FFFFFF"/>
        <w:spacing w:line="360" w:lineRule="atLeast"/>
        <w:rPr>
          <w:rFonts w:hint="eastAsia" w:ascii="仿宋" w:hAnsi="仿宋" w:eastAsia="仿宋"/>
          <w:color w:val="FF0000"/>
          <w:sz w:val="28"/>
          <w:szCs w:val="28"/>
          <w:lang w:eastAsia="zh-CN"/>
        </w:rPr>
      </w:pPr>
    </w:p>
    <w:sectPr>
      <w:pgSz w:w="11907" w:h="16840"/>
      <w:pgMar w:top="1797"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0000000000000000000"/>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00"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4558E"/>
    <w:multiLevelType w:val="multilevel"/>
    <w:tmpl w:val="5324558E"/>
    <w:lvl w:ilvl="0" w:tentative="0">
      <w:start w:val="1"/>
      <w:numFmt w:val="decimal"/>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9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569C1"/>
    <w:rsid w:val="0000115C"/>
    <w:rsid w:val="0000156D"/>
    <w:rsid w:val="00001BB4"/>
    <w:rsid w:val="00005481"/>
    <w:rsid w:val="00006D29"/>
    <w:rsid w:val="00006E23"/>
    <w:rsid w:val="00010290"/>
    <w:rsid w:val="0001143C"/>
    <w:rsid w:val="000132DE"/>
    <w:rsid w:val="000134D4"/>
    <w:rsid w:val="000140EE"/>
    <w:rsid w:val="0001624D"/>
    <w:rsid w:val="00016907"/>
    <w:rsid w:val="00016959"/>
    <w:rsid w:val="00017C23"/>
    <w:rsid w:val="00017FFB"/>
    <w:rsid w:val="00020FE4"/>
    <w:rsid w:val="00021ED1"/>
    <w:rsid w:val="00022BEF"/>
    <w:rsid w:val="00027057"/>
    <w:rsid w:val="0003000A"/>
    <w:rsid w:val="0003010F"/>
    <w:rsid w:val="00035330"/>
    <w:rsid w:val="000368A3"/>
    <w:rsid w:val="0004055C"/>
    <w:rsid w:val="000426A6"/>
    <w:rsid w:val="00042DBD"/>
    <w:rsid w:val="00044E6A"/>
    <w:rsid w:val="00047C06"/>
    <w:rsid w:val="00052032"/>
    <w:rsid w:val="000520B4"/>
    <w:rsid w:val="000531D2"/>
    <w:rsid w:val="0005472B"/>
    <w:rsid w:val="000551D6"/>
    <w:rsid w:val="000553C0"/>
    <w:rsid w:val="000601C2"/>
    <w:rsid w:val="000606C0"/>
    <w:rsid w:val="0006106F"/>
    <w:rsid w:val="000617CA"/>
    <w:rsid w:val="0006265F"/>
    <w:rsid w:val="00062D4D"/>
    <w:rsid w:val="00063980"/>
    <w:rsid w:val="00064B58"/>
    <w:rsid w:val="000664BB"/>
    <w:rsid w:val="000702FA"/>
    <w:rsid w:val="00070A94"/>
    <w:rsid w:val="000712D7"/>
    <w:rsid w:val="00075B34"/>
    <w:rsid w:val="00077857"/>
    <w:rsid w:val="00077A15"/>
    <w:rsid w:val="000814C9"/>
    <w:rsid w:val="00083966"/>
    <w:rsid w:val="00083C5B"/>
    <w:rsid w:val="00084CBA"/>
    <w:rsid w:val="000856C1"/>
    <w:rsid w:val="00085AB9"/>
    <w:rsid w:val="00085D4C"/>
    <w:rsid w:val="00086BDA"/>
    <w:rsid w:val="000908DA"/>
    <w:rsid w:val="00090BCC"/>
    <w:rsid w:val="000921AC"/>
    <w:rsid w:val="00092D15"/>
    <w:rsid w:val="0009609B"/>
    <w:rsid w:val="000969AC"/>
    <w:rsid w:val="000A05C2"/>
    <w:rsid w:val="000A0CD5"/>
    <w:rsid w:val="000A103B"/>
    <w:rsid w:val="000A2204"/>
    <w:rsid w:val="000B04D7"/>
    <w:rsid w:val="000B1BF2"/>
    <w:rsid w:val="000B38E4"/>
    <w:rsid w:val="000B470A"/>
    <w:rsid w:val="000C0C77"/>
    <w:rsid w:val="000C386C"/>
    <w:rsid w:val="000C423C"/>
    <w:rsid w:val="000C4CE9"/>
    <w:rsid w:val="000C5428"/>
    <w:rsid w:val="000C57E7"/>
    <w:rsid w:val="000C70EE"/>
    <w:rsid w:val="000D0F95"/>
    <w:rsid w:val="000D2474"/>
    <w:rsid w:val="000D281D"/>
    <w:rsid w:val="000D515C"/>
    <w:rsid w:val="000D6641"/>
    <w:rsid w:val="000D6C2E"/>
    <w:rsid w:val="000D6FE8"/>
    <w:rsid w:val="000D7F95"/>
    <w:rsid w:val="000E18C3"/>
    <w:rsid w:val="000E1EDD"/>
    <w:rsid w:val="000E28A0"/>
    <w:rsid w:val="000E382C"/>
    <w:rsid w:val="000E38F1"/>
    <w:rsid w:val="000E477E"/>
    <w:rsid w:val="000E508A"/>
    <w:rsid w:val="000E7854"/>
    <w:rsid w:val="000F05B5"/>
    <w:rsid w:val="000F6DAA"/>
    <w:rsid w:val="000F79F7"/>
    <w:rsid w:val="001022E7"/>
    <w:rsid w:val="00104CB1"/>
    <w:rsid w:val="00106BC1"/>
    <w:rsid w:val="001115D8"/>
    <w:rsid w:val="001125DE"/>
    <w:rsid w:val="00112DBC"/>
    <w:rsid w:val="0012258B"/>
    <w:rsid w:val="00123C30"/>
    <w:rsid w:val="001242D0"/>
    <w:rsid w:val="001246DE"/>
    <w:rsid w:val="00125695"/>
    <w:rsid w:val="00125A2D"/>
    <w:rsid w:val="0012711A"/>
    <w:rsid w:val="00127828"/>
    <w:rsid w:val="00132115"/>
    <w:rsid w:val="001323C4"/>
    <w:rsid w:val="001325A3"/>
    <w:rsid w:val="00132981"/>
    <w:rsid w:val="00135EE2"/>
    <w:rsid w:val="00136941"/>
    <w:rsid w:val="00136A0E"/>
    <w:rsid w:val="00141881"/>
    <w:rsid w:val="00142F27"/>
    <w:rsid w:val="00143425"/>
    <w:rsid w:val="00144967"/>
    <w:rsid w:val="00144BC0"/>
    <w:rsid w:val="0014586A"/>
    <w:rsid w:val="001500F9"/>
    <w:rsid w:val="00152E40"/>
    <w:rsid w:val="00154887"/>
    <w:rsid w:val="00154E34"/>
    <w:rsid w:val="00155198"/>
    <w:rsid w:val="001561CE"/>
    <w:rsid w:val="001570A0"/>
    <w:rsid w:val="0016295F"/>
    <w:rsid w:val="00163170"/>
    <w:rsid w:val="00165808"/>
    <w:rsid w:val="00166742"/>
    <w:rsid w:val="001675CF"/>
    <w:rsid w:val="00167730"/>
    <w:rsid w:val="00171C5D"/>
    <w:rsid w:val="0017314C"/>
    <w:rsid w:val="0017473C"/>
    <w:rsid w:val="00174CAE"/>
    <w:rsid w:val="00175E3D"/>
    <w:rsid w:val="001763C3"/>
    <w:rsid w:val="0017760C"/>
    <w:rsid w:val="00180E31"/>
    <w:rsid w:val="00181E3C"/>
    <w:rsid w:val="001822C7"/>
    <w:rsid w:val="00182C43"/>
    <w:rsid w:val="00184414"/>
    <w:rsid w:val="00184EB5"/>
    <w:rsid w:val="0018773C"/>
    <w:rsid w:val="00190A77"/>
    <w:rsid w:val="00191D7E"/>
    <w:rsid w:val="00191E0B"/>
    <w:rsid w:val="00192528"/>
    <w:rsid w:val="00192EB2"/>
    <w:rsid w:val="00193C6D"/>
    <w:rsid w:val="00193F8C"/>
    <w:rsid w:val="001942BF"/>
    <w:rsid w:val="00195DBB"/>
    <w:rsid w:val="001963FA"/>
    <w:rsid w:val="00197334"/>
    <w:rsid w:val="00197DD4"/>
    <w:rsid w:val="001A0F25"/>
    <w:rsid w:val="001A0F58"/>
    <w:rsid w:val="001A2071"/>
    <w:rsid w:val="001A2844"/>
    <w:rsid w:val="001A3729"/>
    <w:rsid w:val="001A3763"/>
    <w:rsid w:val="001A446D"/>
    <w:rsid w:val="001A5698"/>
    <w:rsid w:val="001A5AA5"/>
    <w:rsid w:val="001A5BCE"/>
    <w:rsid w:val="001A5DA8"/>
    <w:rsid w:val="001A5F18"/>
    <w:rsid w:val="001B095D"/>
    <w:rsid w:val="001B0A98"/>
    <w:rsid w:val="001B1EBB"/>
    <w:rsid w:val="001B31ED"/>
    <w:rsid w:val="001B40F5"/>
    <w:rsid w:val="001B4526"/>
    <w:rsid w:val="001B48C7"/>
    <w:rsid w:val="001B4CF0"/>
    <w:rsid w:val="001B69BD"/>
    <w:rsid w:val="001C0A11"/>
    <w:rsid w:val="001C1844"/>
    <w:rsid w:val="001C2904"/>
    <w:rsid w:val="001C2A7A"/>
    <w:rsid w:val="001C3BEB"/>
    <w:rsid w:val="001C4D63"/>
    <w:rsid w:val="001D0B1B"/>
    <w:rsid w:val="001D17B3"/>
    <w:rsid w:val="001D231B"/>
    <w:rsid w:val="001D241B"/>
    <w:rsid w:val="001D2AB3"/>
    <w:rsid w:val="001D39E9"/>
    <w:rsid w:val="001D3BA5"/>
    <w:rsid w:val="001D4327"/>
    <w:rsid w:val="001D731D"/>
    <w:rsid w:val="001D7CC4"/>
    <w:rsid w:val="001E1E2F"/>
    <w:rsid w:val="001E1E5A"/>
    <w:rsid w:val="001E3BD8"/>
    <w:rsid w:val="001E45DE"/>
    <w:rsid w:val="001E4F3D"/>
    <w:rsid w:val="001E4FD8"/>
    <w:rsid w:val="001E5A36"/>
    <w:rsid w:val="001E5E1F"/>
    <w:rsid w:val="001E61DB"/>
    <w:rsid w:val="001E6646"/>
    <w:rsid w:val="001E7002"/>
    <w:rsid w:val="001F0632"/>
    <w:rsid w:val="001F1342"/>
    <w:rsid w:val="001F3413"/>
    <w:rsid w:val="00200EDD"/>
    <w:rsid w:val="00201A10"/>
    <w:rsid w:val="00202509"/>
    <w:rsid w:val="00202630"/>
    <w:rsid w:val="00203CF8"/>
    <w:rsid w:val="002051DB"/>
    <w:rsid w:val="0020660E"/>
    <w:rsid w:val="00207500"/>
    <w:rsid w:val="00207E5D"/>
    <w:rsid w:val="0021127C"/>
    <w:rsid w:val="00211D23"/>
    <w:rsid w:val="002159D8"/>
    <w:rsid w:val="00216109"/>
    <w:rsid w:val="00224D86"/>
    <w:rsid w:val="00225199"/>
    <w:rsid w:val="002256A4"/>
    <w:rsid w:val="00226FFF"/>
    <w:rsid w:val="002272D1"/>
    <w:rsid w:val="00227D5E"/>
    <w:rsid w:val="00231721"/>
    <w:rsid w:val="00232ECE"/>
    <w:rsid w:val="002341E6"/>
    <w:rsid w:val="002366BF"/>
    <w:rsid w:val="0023764D"/>
    <w:rsid w:val="0024059E"/>
    <w:rsid w:val="00240600"/>
    <w:rsid w:val="002406A4"/>
    <w:rsid w:val="00242155"/>
    <w:rsid w:val="002438E8"/>
    <w:rsid w:val="0024433D"/>
    <w:rsid w:val="00244C22"/>
    <w:rsid w:val="00246AE3"/>
    <w:rsid w:val="00253289"/>
    <w:rsid w:val="002579D0"/>
    <w:rsid w:val="00257D4A"/>
    <w:rsid w:val="0026028E"/>
    <w:rsid w:val="002603CB"/>
    <w:rsid w:val="002604C9"/>
    <w:rsid w:val="00260569"/>
    <w:rsid w:val="00261EFB"/>
    <w:rsid w:val="0026391A"/>
    <w:rsid w:val="00267641"/>
    <w:rsid w:val="00267E85"/>
    <w:rsid w:val="002704C8"/>
    <w:rsid w:val="0027056C"/>
    <w:rsid w:val="0027139B"/>
    <w:rsid w:val="0027145E"/>
    <w:rsid w:val="0027248F"/>
    <w:rsid w:val="00273310"/>
    <w:rsid w:val="00273B4A"/>
    <w:rsid w:val="00273F2E"/>
    <w:rsid w:val="00273FF3"/>
    <w:rsid w:val="0027431C"/>
    <w:rsid w:val="0027596B"/>
    <w:rsid w:val="00275ACE"/>
    <w:rsid w:val="00275ED1"/>
    <w:rsid w:val="0027645C"/>
    <w:rsid w:val="002768CF"/>
    <w:rsid w:val="00276C01"/>
    <w:rsid w:val="00276C6E"/>
    <w:rsid w:val="0027703F"/>
    <w:rsid w:val="002774A9"/>
    <w:rsid w:val="00280367"/>
    <w:rsid w:val="00282A43"/>
    <w:rsid w:val="00283741"/>
    <w:rsid w:val="00290883"/>
    <w:rsid w:val="00291607"/>
    <w:rsid w:val="00292BE3"/>
    <w:rsid w:val="00292CDD"/>
    <w:rsid w:val="002937F4"/>
    <w:rsid w:val="00296831"/>
    <w:rsid w:val="00297A6E"/>
    <w:rsid w:val="002A0797"/>
    <w:rsid w:val="002A2CD6"/>
    <w:rsid w:val="002A370E"/>
    <w:rsid w:val="002A51F9"/>
    <w:rsid w:val="002A5EFE"/>
    <w:rsid w:val="002A7063"/>
    <w:rsid w:val="002A7505"/>
    <w:rsid w:val="002B12F3"/>
    <w:rsid w:val="002B1698"/>
    <w:rsid w:val="002B16E3"/>
    <w:rsid w:val="002B2331"/>
    <w:rsid w:val="002B3037"/>
    <w:rsid w:val="002B634B"/>
    <w:rsid w:val="002B635E"/>
    <w:rsid w:val="002B6946"/>
    <w:rsid w:val="002B70BC"/>
    <w:rsid w:val="002C0FE1"/>
    <w:rsid w:val="002C15E8"/>
    <w:rsid w:val="002C25C3"/>
    <w:rsid w:val="002C4C13"/>
    <w:rsid w:val="002C6102"/>
    <w:rsid w:val="002C743C"/>
    <w:rsid w:val="002D0547"/>
    <w:rsid w:val="002D2CA4"/>
    <w:rsid w:val="002D3751"/>
    <w:rsid w:val="002D433A"/>
    <w:rsid w:val="002D4787"/>
    <w:rsid w:val="002D5940"/>
    <w:rsid w:val="002E22F9"/>
    <w:rsid w:val="002E2950"/>
    <w:rsid w:val="002E2960"/>
    <w:rsid w:val="002E2FAA"/>
    <w:rsid w:val="002E53C3"/>
    <w:rsid w:val="002E663F"/>
    <w:rsid w:val="002F02CA"/>
    <w:rsid w:val="002F0A19"/>
    <w:rsid w:val="002F11C0"/>
    <w:rsid w:val="002F1DD2"/>
    <w:rsid w:val="002F466F"/>
    <w:rsid w:val="003031DB"/>
    <w:rsid w:val="00303373"/>
    <w:rsid w:val="003047E5"/>
    <w:rsid w:val="00307F96"/>
    <w:rsid w:val="00310209"/>
    <w:rsid w:val="00312756"/>
    <w:rsid w:val="00312C6E"/>
    <w:rsid w:val="00313946"/>
    <w:rsid w:val="00313A2E"/>
    <w:rsid w:val="00313D96"/>
    <w:rsid w:val="003142E9"/>
    <w:rsid w:val="003157DB"/>
    <w:rsid w:val="00316672"/>
    <w:rsid w:val="003200C7"/>
    <w:rsid w:val="0032277F"/>
    <w:rsid w:val="0032398D"/>
    <w:rsid w:val="00327070"/>
    <w:rsid w:val="00334C60"/>
    <w:rsid w:val="00334C73"/>
    <w:rsid w:val="00336444"/>
    <w:rsid w:val="003369B0"/>
    <w:rsid w:val="00337BF6"/>
    <w:rsid w:val="0034201F"/>
    <w:rsid w:val="003440DE"/>
    <w:rsid w:val="003444D4"/>
    <w:rsid w:val="0034605F"/>
    <w:rsid w:val="00347163"/>
    <w:rsid w:val="003477AE"/>
    <w:rsid w:val="00350F44"/>
    <w:rsid w:val="00353171"/>
    <w:rsid w:val="003543F2"/>
    <w:rsid w:val="00356D50"/>
    <w:rsid w:val="00360D92"/>
    <w:rsid w:val="0036110C"/>
    <w:rsid w:val="00362C5D"/>
    <w:rsid w:val="00363B9F"/>
    <w:rsid w:val="00364A46"/>
    <w:rsid w:val="0036742B"/>
    <w:rsid w:val="00367CE7"/>
    <w:rsid w:val="00370748"/>
    <w:rsid w:val="00370BAF"/>
    <w:rsid w:val="0037208F"/>
    <w:rsid w:val="00376996"/>
    <w:rsid w:val="003813F3"/>
    <w:rsid w:val="00383728"/>
    <w:rsid w:val="00383B8E"/>
    <w:rsid w:val="00384429"/>
    <w:rsid w:val="00385067"/>
    <w:rsid w:val="0039078A"/>
    <w:rsid w:val="00390DD2"/>
    <w:rsid w:val="00390E9A"/>
    <w:rsid w:val="00391B6C"/>
    <w:rsid w:val="00391C28"/>
    <w:rsid w:val="00392957"/>
    <w:rsid w:val="00393423"/>
    <w:rsid w:val="0039375B"/>
    <w:rsid w:val="00393830"/>
    <w:rsid w:val="003938C8"/>
    <w:rsid w:val="003950F0"/>
    <w:rsid w:val="003953E6"/>
    <w:rsid w:val="00395AA1"/>
    <w:rsid w:val="0039778C"/>
    <w:rsid w:val="003A04AA"/>
    <w:rsid w:val="003A118A"/>
    <w:rsid w:val="003A1583"/>
    <w:rsid w:val="003A1A70"/>
    <w:rsid w:val="003A35AC"/>
    <w:rsid w:val="003A38FA"/>
    <w:rsid w:val="003A4B74"/>
    <w:rsid w:val="003A78EA"/>
    <w:rsid w:val="003B01BA"/>
    <w:rsid w:val="003B0351"/>
    <w:rsid w:val="003B143C"/>
    <w:rsid w:val="003B22D7"/>
    <w:rsid w:val="003B2B90"/>
    <w:rsid w:val="003B334A"/>
    <w:rsid w:val="003B5849"/>
    <w:rsid w:val="003B7CEB"/>
    <w:rsid w:val="003B7CEE"/>
    <w:rsid w:val="003C11D2"/>
    <w:rsid w:val="003C372C"/>
    <w:rsid w:val="003C4A1C"/>
    <w:rsid w:val="003C5046"/>
    <w:rsid w:val="003C5A7E"/>
    <w:rsid w:val="003C604A"/>
    <w:rsid w:val="003C63F5"/>
    <w:rsid w:val="003C7BE1"/>
    <w:rsid w:val="003D0431"/>
    <w:rsid w:val="003D0B6F"/>
    <w:rsid w:val="003D13FB"/>
    <w:rsid w:val="003D2D09"/>
    <w:rsid w:val="003D3469"/>
    <w:rsid w:val="003D3599"/>
    <w:rsid w:val="003D39C3"/>
    <w:rsid w:val="003D3B65"/>
    <w:rsid w:val="003D4D71"/>
    <w:rsid w:val="003D71F5"/>
    <w:rsid w:val="003D79F8"/>
    <w:rsid w:val="003D7DBC"/>
    <w:rsid w:val="003E0B9B"/>
    <w:rsid w:val="003E0C09"/>
    <w:rsid w:val="003E1A6B"/>
    <w:rsid w:val="003E27B7"/>
    <w:rsid w:val="003E4B2B"/>
    <w:rsid w:val="003F0B09"/>
    <w:rsid w:val="003F3332"/>
    <w:rsid w:val="003F3E37"/>
    <w:rsid w:val="003F4168"/>
    <w:rsid w:val="003F7758"/>
    <w:rsid w:val="00400706"/>
    <w:rsid w:val="00400BFF"/>
    <w:rsid w:val="0040191B"/>
    <w:rsid w:val="00401B92"/>
    <w:rsid w:val="00402133"/>
    <w:rsid w:val="00403087"/>
    <w:rsid w:val="004030B5"/>
    <w:rsid w:val="0040354A"/>
    <w:rsid w:val="0040487B"/>
    <w:rsid w:val="00405442"/>
    <w:rsid w:val="00405798"/>
    <w:rsid w:val="00406FC9"/>
    <w:rsid w:val="00407B0C"/>
    <w:rsid w:val="00411740"/>
    <w:rsid w:val="00412C68"/>
    <w:rsid w:val="004135FA"/>
    <w:rsid w:val="00413C48"/>
    <w:rsid w:val="00420204"/>
    <w:rsid w:val="00420E38"/>
    <w:rsid w:val="0042166F"/>
    <w:rsid w:val="00422466"/>
    <w:rsid w:val="00423C13"/>
    <w:rsid w:val="004316A5"/>
    <w:rsid w:val="00431AA1"/>
    <w:rsid w:val="00431CF5"/>
    <w:rsid w:val="00432B98"/>
    <w:rsid w:val="00432F2E"/>
    <w:rsid w:val="004333AF"/>
    <w:rsid w:val="00434926"/>
    <w:rsid w:val="00434BC3"/>
    <w:rsid w:val="004439FD"/>
    <w:rsid w:val="0044595B"/>
    <w:rsid w:val="00446B20"/>
    <w:rsid w:val="00447CD4"/>
    <w:rsid w:val="00452032"/>
    <w:rsid w:val="00453270"/>
    <w:rsid w:val="00453902"/>
    <w:rsid w:val="0045454A"/>
    <w:rsid w:val="00454DA2"/>
    <w:rsid w:val="004552B8"/>
    <w:rsid w:val="00455628"/>
    <w:rsid w:val="0045593E"/>
    <w:rsid w:val="00456A38"/>
    <w:rsid w:val="00460C97"/>
    <w:rsid w:val="004621A2"/>
    <w:rsid w:val="00462281"/>
    <w:rsid w:val="00464810"/>
    <w:rsid w:val="004651AE"/>
    <w:rsid w:val="00465F6F"/>
    <w:rsid w:val="0047046F"/>
    <w:rsid w:val="00470EFB"/>
    <w:rsid w:val="00472F5F"/>
    <w:rsid w:val="00473E24"/>
    <w:rsid w:val="00474C38"/>
    <w:rsid w:val="0047590D"/>
    <w:rsid w:val="00476735"/>
    <w:rsid w:val="00477D35"/>
    <w:rsid w:val="00482EF6"/>
    <w:rsid w:val="0048458C"/>
    <w:rsid w:val="00485FE7"/>
    <w:rsid w:val="0048620A"/>
    <w:rsid w:val="0048772B"/>
    <w:rsid w:val="00491E04"/>
    <w:rsid w:val="00491FB6"/>
    <w:rsid w:val="00493139"/>
    <w:rsid w:val="0049464F"/>
    <w:rsid w:val="0049491B"/>
    <w:rsid w:val="00496281"/>
    <w:rsid w:val="004A1795"/>
    <w:rsid w:val="004A23E7"/>
    <w:rsid w:val="004A24C2"/>
    <w:rsid w:val="004A3DEF"/>
    <w:rsid w:val="004A4FC6"/>
    <w:rsid w:val="004B0DB3"/>
    <w:rsid w:val="004B2B4D"/>
    <w:rsid w:val="004B5E3A"/>
    <w:rsid w:val="004B665D"/>
    <w:rsid w:val="004C0032"/>
    <w:rsid w:val="004C127E"/>
    <w:rsid w:val="004C14D4"/>
    <w:rsid w:val="004C1691"/>
    <w:rsid w:val="004C2CEB"/>
    <w:rsid w:val="004C4AFC"/>
    <w:rsid w:val="004C5AB0"/>
    <w:rsid w:val="004D1582"/>
    <w:rsid w:val="004D3ED2"/>
    <w:rsid w:val="004D4AEA"/>
    <w:rsid w:val="004D4C26"/>
    <w:rsid w:val="004D6136"/>
    <w:rsid w:val="004D698A"/>
    <w:rsid w:val="004D7931"/>
    <w:rsid w:val="004E0F52"/>
    <w:rsid w:val="004E19BF"/>
    <w:rsid w:val="004E2BC0"/>
    <w:rsid w:val="004E42A3"/>
    <w:rsid w:val="004E42D4"/>
    <w:rsid w:val="004E5252"/>
    <w:rsid w:val="004E68AE"/>
    <w:rsid w:val="004E75B5"/>
    <w:rsid w:val="004E787E"/>
    <w:rsid w:val="004E7CEC"/>
    <w:rsid w:val="004F03EA"/>
    <w:rsid w:val="004F287E"/>
    <w:rsid w:val="004F290B"/>
    <w:rsid w:val="004F41E7"/>
    <w:rsid w:val="004F5468"/>
    <w:rsid w:val="004F5E53"/>
    <w:rsid w:val="004F657E"/>
    <w:rsid w:val="004F6BA4"/>
    <w:rsid w:val="004F7373"/>
    <w:rsid w:val="0050051A"/>
    <w:rsid w:val="005009FC"/>
    <w:rsid w:val="00501A73"/>
    <w:rsid w:val="00503053"/>
    <w:rsid w:val="005033FD"/>
    <w:rsid w:val="005056F4"/>
    <w:rsid w:val="0050751A"/>
    <w:rsid w:val="00510494"/>
    <w:rsid w:val="00511F4B"/>
    <w:rsid w:val="005123F2"/>
    <w:rsid w:val="005129F7"/>
    <w:rsid w:val="00514F46"/>
    <w:rsid w:val="005157F0"/>
    <w:rsid w:val="00515BEC"/>
    <w:rsid w:val="00515FD0"/>
    <w:rsid w:val="00516746"/>
    <w:rsid w:val="00517CDD"/>
    <w:rsid w:val="0052036D"/>
    <w:rsid w:val="0052094F"/>
    <w:rsid w:val="00520B69"/>
    <w:rsid w:val="0052158E"/>
    <w:rsid w:val="0052235E"/>
    <w:rsid w:val="00524BDE"/>
    <w:rsid w:val="00525205"/>
    <w:rsid w:val="0052646F"/>
    <w:rsid w:val="00526749"/>
    <w:rsid w:val="00527E40"/>
    <w:rsid w:val="00530829"/>
    <w:rsid w:val="00530A0B"/>
    <w:rsid w:val="00531A68"/>
    <w:rsid w:val="00533A6E"/>
    <w:rsid w:val="00534510"/>
    <w:rsid w:val="00535813"/>
    <w:rsid w:val="00535FE8"/>
    <w:rsid w:val="00536131"/>
    <w:rsid w:val="005412E8"/>
    <w:rsid w:val="00542641"/>
    <w:rsid w:val="0054409F"/>
    <w:rsid w:val="00544412"/>
    <w:rsid w:val="005447A9"/>
    <w:rsid w:val="00546A78"/>
    <w:rsid w:val="00550C00"/>
    <w:rsid w:val="0055371E"/>
    <w:rsid w:val="00555324"/>
    <w:rsid w:val="005554CA"/>
    <w:rsid w:val="00560128"/>
    <w:rsid w:val="00566919"/>
    <w:rsid w:val="00570441"/>
    <w:rsid w:val="00570E04"/>
    <w:rsid w:val="00572AE8"/>
    <w:rsid w:val="005732D2"/>
    <w:rsid w:val="00573CC4"/>
    <w:rsid w:val="00573E97"/>
    <w:rsid w:val="00574B3D"/>
    <w:rsid w:val="00577190"/>
    <w:rsid w:val="005778D6"/>
    <w:rsid w:val="00580026"/>
    <w:rsid w:val="005800E3"/>
    <w:rsid w:val="00580744"/>
    <w:rsid w:val="0058088E"/>
    <w:rsid w:val="0058111A"/>
    <w:rsid w:val="0058210D"/>
    <w:rsid w:val="00582C57"/>
    <w:rsid w:val="00584EBB"/>
    <w:rsid w:val="0058535E"/>
    <w:rsid w:val="00587514"/>
    <w:rsid w:val="00590DFC"/>
    <w:rsid w:val="00593106"/>
    <w:rsid w:val="00593EA3"/>
    <w:rsid w:val="0059431A"/>
    <w:rsid w:val="005969DF"/>
    <w:rsid w:val="00596BEF"/>
    <w:rsid w:val="00597026"/>
    <w:rsid w:val="005A1876"/>
    <w:rsid w:val="005A1B51"/>
    <w:rsid w:val="005A290D"/>
    <w:rsid w:val="005A3D73"/>
    <w:rsid w:val="005A3E6D"/>
    <w:rsid w:val="005A42E9"/>
    <w:rsid w:val="005A730C"/>
    <w:rsid w:val="005A7544"/>
    <w:rsid w:val="005B121A"/>
    <w:rsid w:val="005B3F10"/>
    <w:rsid w:val="005B53A4"/>
    <w:rsid w:val="005B6B3C"/>
    <w:rsid w:val="005C0157"/>
    <w:rsid w:val="005C081E"/>
    <w:rsid w:val="005C0E07"/>
    <w:rsid w:val="005C1751"/>
    <w:rsid w:val="005C4EBD"/>
    <w:rsid w:val="005C538A"/>
    <w:rsid w:val="005C5975"/>
    <w:rsid w:val="005C692C"/>
    <w:rsid w:val="005C69DB"/>
    <w:rsid w:val="005C6A1B"/>
    <w:rsid w:val="005C7C0E"/>
    <w:rsid w:val="005D3BC2"/>
    <w:rsid w:val="005D4AB4"/>
    <w:rsid w:val="005E0AB4"/>
    <w:rsid w:val="005E2FD9"/>
    <w:rsid w:val="005E3CD9"/>
    <w:rsid w:val="005E3DFE"/>
    <w:rsid w:val="005E4EA4"/>
    <w:rsid w:val="005E6275"/>
    <w:rsid w:val="005F27A3"/>
    <w:rsid w:val="005F2828"/>
    <w:rsid w:val="005F591D"/>
    <w:rsid w:val="005F68E1"/>
    <w:rsid w:val="00601357"/>
    <w:rsid w:val="00601A52"/>
    <w:rsid w:val="0060204F"/>
    <w:rsid w:val="006036EC"/>
    <w:rsid w:val="00603B9C"/>
    <w:rsid w:val="00606BD1"/>
    <w:rsid w:val="00611AF4"/>
    <w:rsid w:val="00612A22"/>
    <w:rsid w:val="0061315A"/>
    <w:rsid w:val="00613612"/>
    <w:rsid w:val="00614021"/>
    <w:rsid w:val="00617A80"/>
    <w:rsid w:val="006240C2"/>
    <w:rsid w:val="0062499D"/>
    <w:rsid w:val="00630005"/>
    <w:rsid w:val="0063021A"/>
    <w:rsid w:val="00630A22"/>
    <w:rsid w:val="00630A3B"/>
    <w:rsid w:val="00635121"/>
    <w:rsid w:val="00635513"/>
    <w:rsid w:val="00635CFD"/>
    <w:rsid w:val="006360BE"/>
    <w:rsid w:val="0063686B"/>
    <w:rsid w:val="006379DC"/>
    <w:rsid w:val="00642095"/>
    <w:rsid w:val="006426EA"/>
    <w:rsid w:val="006442B9"/>
    <w:rsid w:val="00644634"/>
    <w:rsid w:val="00645198"/>
    <w:rsid w:val="00647A9D"/>
    <w:rsid w:val="00650A6F"/>
    <w:rsid w:val="00653EBF"/>
    <w:rsid w:val="00653FCF"/>
    <w:rsid w:val="0065563F"/>
    <w:rsid w:val="006557CF"/>
    <w:rsid w:val="006566E3"/>
    <w:rsid w:val="0065691C"/>
    <w:rsid w:val="0065743A"/>
    <w:rsid w:val="00657FBC"/>
    <w:rsid w:val="00664C50"/>
    <w:rsid w:val="0066536E"/>
    <w:rsid w:val="0066548C"/>
    <w:rsid w:val="00666625"/>
    <w:rsid w:val="006700D9"/>
    <w:rsid w:val="00670BA6"/>
    <w:rsid w:val="00671596"/>
    <w:rsid w:val="00671CFE"/>
    <w:rsid w:val="00675DCC"/>
    <w:rsid w:val="00676510"/>
    <w:rsid w:val="006769B9"/>
    <w:rsid w:val="00676B83"/>
    <w:rsid w:val="00677623"/>
    <w:rsid w:val="00681920"/>
    <w:rsid w:val="00681A91"/>
    <w:rsid w:val="00681CDB"/>
    <w:rsid w:val="00682BDC"/>
    <w:rsid w:val="00684110"/>
    <w:rsid w:val="00684E69"/>
    <w:rsid w:val="006857FA"/>
    <w:rsid w:val="00686A7C"/>
    <w:rsid w:val="00687310"/>
    <w:rsid w:val="00687BA3"/>
    <w:rsid w:val="00687D4D"/>
    <w:rsid w:val="006903EA"/>
    <w:rsid w:val="00692140"/>
    <w:rsid w:val="006923D7"/>
    <w:rsid w:val="006926B6"/>
    <w:rsid w:val="00695C89"/>
    <w:rsid w:val="00696C9A"/>
    <w:rsid w:val="00697E9A"/>
    <w:rsid w:val="006A1D96"/>
    <w:rsid w:val="006A26FF"/>
    <w:rsid w:val="006A69ED"/>
    <w:rsid w:val="006A70C0"/>
    <w:rsid w:val="006A7FC2"/>
    <w:rsid w:val="006B4EB9"/>
    <w:rsid w:val="006B650A"/>
    <w:rsid w:val="006B6D86"/>
    <w:rsid w:val="006B7214"/>
    <w:rsid w:val="006B75E4"/>
    <w:rsid w:val="006B7F32"/>
    <w:rsid w:val="006C0210"/>
    <w:rsid w:val="006C270E"/>
    <w:rsid w:val="006C2776"/>
    <w:rsid w:val="006C4344"/>
    <w:rsid w:val="006C5128"/>
    <w:rsid w:val="006C5345"/>
    <w:rsid w:val="006C67F0"/>
    <w:rsid w:val="006C7B1B"/>
    <w:rsid w:val="006D061A"/>
    <w:rsid w:val="006D0AD5"/>
    <w:rsid w:val="006D1E6C"/>
    <w:rsid w:val="006D2183"/>
    <w:rsid w:val="006D2921"/>
    <w:rsid w:val="006D4237"/>
    <w:rsid w:val="006D6B8C"/>
    <w:rsid w:val="006D6C95"/>
    <w:rsid w:val="006D76EC"/>
    <w:rsid w:val="006E092D"/>
    <w:rsid w:val="006E2717"/>
    <w:rsid w:val="006E3E80"/>
    <w:rsid w:val="006E4B60"/>
    <w:rsid w:val="006E4E5E"/>
    <w:rsid w:val="006E6343"/>
    <w:rsid w:val="006E696C"/>
    <w:rsid w:val="006F15DA"/>
    <w:rsid w:val="006F42F6"/>
    <w:rsid w:val="006F5762"/>
    <w:rsid w:val="006F5B42"/>
    <w:rsid w:val="006F6788"/>
    <w:rsid w:val="00703506"/>
    <w:rsid w:val="00704F5D"/>
    <w:rsid w:val="007050E8"/>
    <w:rsid w:val="007050EB"/>
    <w:rsid w:val="007052A4"/>
    <w:rsid w:val="00705CEA"/>
    <w:rsid w:val="0070685E"/>
    <w:rsid w:val="0070694E"/>
    <w:rsid w:val="00711075"/>
    <w:rsid w:val="00711111"/>
    <w:rsid w:val="007117FD"/>
    <w:rsid w:val="007121BD"/>
    <w:rsid w:val="00714066"/>
    <w:rsid w:val="007164F0"/>
    <w:rsid w:val="007169DD"/>
    <w:rsid w:val="007173FB"/>
    <w:rsid w:val="0071753E"/>
    <w:rsid w:val="007176EC"/>
    <w:rsid w:val="007203DD"/>
    <w:rsid w:val="00720DD2"/>
    <w:rsid w:val="00720FF0"/>
    <w:rsid w:val="007215DF"/>
    <w:rsid w:val="00723654"/>
    <w:rsid w:val="00723EE2"/>
    <w:rsid w:val="0072417C"/>
    <w:rsid w:val="0072513D"/>
    <w:rsid w:val="007261E3"/>
    <w:rsid w:val="0072671F"/>
    <w:rsid w:val="007272AE"/>
    <w:rsid w:val="00731B9F"/>
    <w:rsid w:val="0073233B"/>
    <w:rsid w:val="00734D91"/>
    <w:rsid w:val="007356BF"/>
    <w:rsid w:val="0073700F"/>
    <w:rsid w:val="00737CA8"/>
    <w:rsid w:val="00740AEB"/>
    <w:rsid w:val="00744B43"/>
    <w:rsid w:val="00744D0C"/>
    <w:rsid w:val="00746222"/>
    <w:rsid w:val="007471D2"/>
    <w:rsid w:val="0074771A"/>
    <w:rsid w:val="00750118"/>
    <w:rsid w:val="0075092F"/>
    <w:rsid w:val="00751E6E"/>
    <w:rsid w:val="007535D7"/>
    <w:rsid w:val="00753AFA"/>
    <w:rsid w:val="00755CAC"/>
    <w:rsid w:val="00755FF1"/>
    <w:rsid w:val="00757B0D"/>
    <w:rsid w:val="00757DDA"/>
    <w:rsid w:val="00760D27"/>
    <w:rsid w:val="007630C0"/>
    <w:rsid w:val="00764997"/>
    <w:rsid w:val="00764C18"/>
    <w:rsid w:val="00765F6D"/>
    <w:rsid w:val="00766131"/>
    <w:rsid w:val="00766895"/>
    <w:rsid w:val="00767822"/>
    <w:rsid w:val="00767D17"/>
    <w:rsid w:val="00770BE9"/>
    <w:rsid w:val="00771967"/>
    <w:rsid w:val="00772823"/>
    <w:rsid w:val="00774627"/>
    <w:rsid w:val="00774689"/>
    <w:rsid w:val="007751DD"/>
    <w:rsid w:val="00777535"/>
    <w:rsid w:val="00777822"/>
    <w:rsid w:val="00780CE9"/>
    <w:rsid w:val="0078135D"/>
    <w:rsid w:val="00781D97"/>
    <w:rsid w:val="007830A9"/>
    <w:rsid w:val="00783D98"/>
    <w:rsid w:val="00783F1E"/>
    <w:rsid w:val="00784831"/>
    <w:rsid w:val="00787968"/>
    <w:rsid w:val="00787D3D"/>
    <w:rsid w:val="0079015A"/>
    <w:rsid w:val="00791AC4"/>
    <w:rsid w:val="00792E07"/>
    <w:rsid w:val="00792E17"/>
    <w:rsid w:val="00793C4B"/>
    <w:rsid w:val="0079459D"/>
    <w:rsid w:val="007A003F"/>
    <w:rsid w:val="007A1CC8"/>
    <w:rsid w:val="007A1F8B"/>
    <w:rsid w:val="007A2758"/>
    <w:rsid w:val="007A2B24"/>
    <w:rsid w:val="007A35EF"/>
    <w:rsid w:val="007A38D8"/>
    <w:rsid w:val="007A5C47"/>
    <w:rsid w:val="007B0BD8"/>
    <w:rsid w:val="007B131E"/>
    <w:rsid w:val="007B1A46"/>
    <w:rsid w:val="007B2365"/>
    <w:rsid w:val="007B4092"/>
    <w:rsid w:val="007B4B17"/>
    <w:rsid w:val="007B4BF7"/>
    <w:rsid w:val="007B7EEB"/>
    <w:rsid w:val="007C044F"/>
    <w:rsid w:val="007C1D46"/>
    <w:rsid w:val="007C396B"/>
    <w:rsid w:val="007C3F6E"/>
    <w:rsid w:val="007C4000"/>
    <w:rsid w:val="007C42DD"/>
    <w:rsid w:val="007C5F9C"/>
    <w:rsid w:val="007C71DB"/>
    <w:rsid w:val="007D1F88"/>
    <w:rsid w:val="007D3CAF"/>
    <w:rsid w:val="007D4F78"/>
    <w:rsid w:val="007E16A7"/>
    <w:rsid w:val="007E1D5D"/>
    <w:rsid w:val="007E1FD6"/>
    <w:rsid w:val="007E228B"/>
    <w:rsid w:val="007E34B6"/>
    <w:rsid w:val="007E4A33"/>
    <w:rsid w:val="007E6F18"/>
    <w:rsid w:val="007E74C8"/>
    <w:rsid w:val="007F138E"/>
    <w:rsid w:val="007F1B8B"/>
    <w:rsid w:val="007F1EB2"/>
    <w:rsid w:val="007F4A0F"/>
    <w:rsid w:val="007F4DA5"/>
    <w:rsid w:val="007F781B"/>
    <w:rsid w:val="008000FF"/>
    <w:rsid w:val="008009C8"/>
    <w:rsid w:val="00801E41"/>
    <w:rsid w:val="00802181"/>
    <w:rsid w:val="00802EDE"/>
    <w:rsid w:val="00803A96"/>
    <w:rsid w:val="00805395"/>
    <w:rsid w:val="008054E4"/>
    <w:rsid w:val="00805E5C"/>
    <w:rsid w:val="008071DD"/>
    <w:rsid w:val="00807E1B"/>
    <w:rsid w:val="00811279"/>
    <w:rsid w:val="00813790"/>
    <w:rsid w:val="008148BC"/>
    <w:rsid w:val="00814FC7"/>
    <w:rsid w:val="00815D39"/>
    <w:rsid w:val="008164E2"/>
    <w:rsid w:val="008202AF"/>
    <w:rsid w:val="00820BCC"/>
    <w:rsid w:val="008249E0"/>
    <w:rsid w:val="00825DB3"/>
    <w:rsid w:val="00825E36"/>
    <w:rsid w:val="00826226"/>
    <w:rsid w:val="0082754E"/>
    <w:rsid w:val="00827FAA"/>
    <w:rsid w:val="00833D14"/>
    <w:rsid w:val="008345D3"/>
    <w:rsid w:val="008368E3"/>
    <w:rsid w:val="0084086F"/>
    <w:rsid w:val="0084316C"/>
    <w:rsid w:val="00846C42"/>
    <w:rsid w:val="00847840"/>
    <w:rsid w:val="00847FCD"/>
    <w:rsid w:val="00852F19"/>
    <w:rsid w:val="0085346D"/>
    <w:rsid w:val="008545F5"/>
    <w:rsid w:val="00856CAC"/>
    <w:rsid w:val="00860B31"/>
    <w:rsid w:val="0086178D"/>
    <w:rsid w:val="0086469C"/>
    <w:rsid w:val="0086570E"/>
    <w:rsid w:val="0086794D"/>
    <w:rsid w:val="00867DF6"/>
    <w:rsid w:val="008706C8"/>
    <w:rsid w:val="008708B8"/>
    <w:rsid w:val="00871BB9"/>
    <w:rsid w:val="00871E64"/>
    <w:rsid w:val="00872125"/>
    <w:rsid w:val="008727BF"/>
    <w:rsid w:val="00872E65"/>
    <w:rsid w:val="00873032"/>
    <w:rsid w:val="00873F39"/>
    <w:rsid w:val="008746E1"/>
    <w:rsid w:val="00875EED"/>
    <w:rsid w:val="00880075"/>
    <w:rsid w:val="008802A4"/>
    <w:rsid w:val="00880E3C"/>
    <w:rsid w:val="00881CED"/>
    <w:rsid w:val="00881E04"/>
    <w:rsid w:val="008829F0"/>
    <w:rsid w:val="00883311"/>
    <w:rsid w:val="00883F20"/>
    <w:rsid w:val="00884BAF"/>
    <w:rsid w:val="0088602F"/>
    <w:rsid w:val="0089030D"/>
    <w:rsid w:val="00890AE1"/>
    <w:rsid w:val="00893151"/>
    <w:rsid w:val="00893535"/>
    <w:rsid w:val="00893702"/>
    <w:rsid w:val="008938FD"/>
    <w:rsid w:val="00893CB9"/>
    <w:rsid w:val="00894AA7"/>
    <w:rsid w:val="00895645"/>
    <w:rsid w:val="008956D8"/>
    <w:rsid w:val="00896C5D"/>
    <w:rsid w:val="0089785C"/>
    <w:rsid w:val="008A1103"/>
    <w:rsid w:val="008A2CBA"/>
    <w:rsid w:val="008A2DFA"/>
    <w:rsid w:val="008A2E45"/>
    <w:rsid w:val="008A4257"/>
    <w:rsid w:val="008A6935"/>
    <w:rsid w:val="008B0003"/>
    <w:rsid w:val="008B0341"/>
    <w:rsid w:val="008B035D"/>
    <w:rsid w:val="008B0913"/>
    <w:rsid w:val="008B0FC3"/>
    <w:rsid w:val="008B1F72"/>
    <w:rsid w:val="008B2567"/>
    <w:rsid w:val="008B27CE"/>
    <w:rsid w:val="008B34F6"/>
    <w:rsid w:val="008C0463"/>
    <w:rsid w:val="008C05D2"/>
    <w:rsid w:val="008C1236"/>
    <w:rsid w:val="008C1B94"/>
    <w:rsid w:val="008C23F9"/>
    <w:rsid w:val="008C4349"/>
    <w:rsid w:val="008C63E7"/>
    <w:rsid w:val="008C7296"/>
    <w:rsid w:val="008C7F3F"/>
    <w:rsid w:val="008D53C6"/>
    <w:rsid w:val="008D7BE5"/>
    <w:rsid w:val="008D7CCD"/>
    <w:rsid w:val="008E06CB"/>
    <w:rsid w:val="008E0FE0"/>
    <w:rsid w:val="008E3E6D"/>
    <w:rsid w:val="008E51A4"/>
    <w:rsid w:val="008E63CA"/>
    <w:rsid w:val="008E7546"/>
    <w:rsid w:val="008F025D"/>
    <w:rsid w:val="008F2443"/>
    <w:rsid w:val="008F3959"/>
    <w:rsid w:val="008F5FD1"/>
    <w:rsid w:val="008F75D3"/>
    <w:rsid w:val="009014FA"/>
    <w:rsid w:val="00902306"/>
    <w:rsid w:val="009025C1"/>
    <w:rsid w:val="00902BF7"/>
    <w:rsid w:val="009037B2"/>
    <w:rsid w:val="00904ECC"/>
    <w:rsid w:val="0090771E"/>
    <w:rsid w:val="00910D9B"/>
    <w:rsid w:val="00910EED"/>
    <w:rsid w:val="00911EF5"/>
    <w:rsid w:val="00913ABB"/>
    <w:rsid w:val="009144D1"/>
    <w:rsid w:val="00916AE7"/>
    <w:rsid w:val="009177CA"/>
    <w:rsid w:val="00921275"/>
    <w:rsid w:val="009215D9"/>
    <w:rsid w:val="009230F1"/>
    <w:rsid w:val="00924AAF"/>
    <w:rsid w:val="00927521"/>
    <w:rsid w:val="009327AD"/>
    <w:rsid w:val="00932C20"/>
    <w:rsid w:val="0093379C"/>
    <w:rsid w:val="0093429C"/>
    <w:rsid w:val="009360A1"/>
    <w:rsid w:val="00936EF7"/>
    <w:rsid w:val="0093719D"/>
    <w:rsid w:val="009378BF"/>
    <w:rsid w:val="00937B4B"/>
    <w:rsid w:val="009402A5"/>
    <w:rsid w:val="00940E24"/>
    <w:rsid w:val="00942745"/>
    <w:rsid w:val="00944439"/>
    <w:rsid w:val="00945951"/>
    <w:rsid w:val="00945B31"/>
    <w:rsid w:val="0094735E"/>
    <w:rsid w:val="00951A27"/>
    <w:rsid w:val="00952F6E"/>
    <w:rsid w:val="00953431"/>
    <w:rsid w:val="0095359E"/>
    <w:rsid w:val="009539B7"/>
    <w:rsid w:val="00953BBB"/>
    <w:rsid w:val="00954526"/>
    <w:rsid w:val="009559FB"/>
    <w:rsid w:val="00964E70"/>
    <w:rsid w:val="0096564A"/>
    <w:rsid w:val="00966E79"/>
    <w:rsid w:val="00970746"/>
    <w:rsid w:val="009721F5"/>
    <w:rsid w:val="009728AA"/>
    <w:rsid w:val="0097404B"/>
    <w:rsid w:val="00974450"/>
    <w:rsid w:val="0097523B"/>
    <w:rsid w:val="00976E73"/>
    <w:rsid w:val="00977A10"/>
    <w:rsid w:val="00977F8F"/>
    <w:rsid w:val="00980DD1"/>
    <w:rsid w:val="009824BE"/>
    <w:rsid w:val="00982532"/>
    <w:rsid w:val="00982645"/>
    <w:rsid w:val="00984566"/>
    <w:rsid w:val="009848BB"/>
    <w:rsid w:val="00985C86"/>
    <w:rsid w:val="0098616A"/>
    <w:rsid w:val="0098619A"/>
    <w:rsid w:val="00986B0B"/>
    <w:rsid w:val="00987D7B"/>
    <w:rsid w:val="00990A19"/>
    <w:rsid w:val="00991018"/>
    <w:rsid w:val="009913E9"/>
    <w:rsid w:val="009925B6"/>
    <w:rsid w:val="009940D2"/>
    <w:rsid w:val="009949C3"/>
    <w:rsid w:val="0099531B"/>
    <w:rsid w:val="00995A22"/>
    <w:rsid w:val="00996FFD"/>
    <w:rsid w:val="009A25D2"/>
    <w:rsid w:val="009A3E7C"/>
    <w:rsid w:val="009A5E31"/>
    <w:rsid w:val="009A6A63"/>
    <w:rsid w:val="009B00C8"/>
    <w:rsid w:val="009B0C5A"/>
    <w:rsid w:val="009B171C"/>
    <w:rsid w:val="009B182D"/>
    <w:rsid w:val="009B18C0"/>
    <w:rsid w:val="009B5F9D"/>
    <w:rsid w:val="009C0042"/>
    <w:rsid w:val="009C0B73"/>
    <w:rsid w:val="009C1191"/>
    <w:rsid w:val="009C19C9"/>
    <w:rsid w:val="009C2206"/>
    <w:rsid w:val="009C2F86"/>
    <w:rsid w:val="009C5827"/>
    <w:rsid w:val="009C6CAD"/>
    <w:rsid w:val="009C6DBE"/>
    <w:rsid w:val="009C7B52"/>
    <w:rsid w:val="009D0183"/>
    <w:rsid w:val="009D29B2"/>
    <w:rsid w:val="009D33A7"/>
    <w:rsid w:val="009D33D6"/>
    <w:rsid w:val="009D381A"/>
    <w:rsid w:val="009D6046"/>
    <w:rsid w:val="009D76B4"/>
    <w:rsid w:val="009E1CCD"/>
    <w:rsid w:val="009E405C"/>
    <w:rsid w:val="009E464D"/>
    <w:rsid w:val="009E4809"/>
    <w:rsid w:val="009E555E"/>
    <w:rsid w:val="009E5EF3"/>
    <w:rsid w:val="009E7D43"/>
    <w:rsid w:val="009F0515"/>
    <w:rsid w:val="009F4802"/>
    <w:rsid w:val="009F4EBB"/>
    <w:rsid w:val="009F545C"/>
    <w:rsid w:val="009F5573"/>
    <w:rsid w:val="009F58A6"/>
    <w:rsid w:val="009F70A5"/>
    <w:rsid w:val="00A0366C"/>
    <w:rsid w:val="00A03E2A"/>
    <w:rsid w:val="00A050D6"/>
    <w:rsid w:val="00A12BA4"/>
    <w:rsid w:val="00A133E1"/>
    <w:rsid w:val="00A137A7"/>
    <w:rsid w:val="00A13A2F"/>
    <w:rsid w:val="00A13A39"/>
    <w:rsid w:val="00A14BB5"/>
    <w:rsid w:val="00A2309D"/>
    <w:rsid w:val="00A23747"/>
    <w:rsid w:val="00A240D7"/>
    <w:rsid w:val="00A25764"/>
    <w:rsid w:val="00A276F9"/>
    <w:rsid w:val="00A27BA0"/>
    <w:rsid w:val="00A30838"/>
    <w:rsid w:val="00A36736"/>
    <w:rsid w:val="00A3703A"/>
    <w:rsid w:val="00A413CA"/>
    <w:rsid w:val="00A418DB"/>
    <w:rsid w:val="00A4226A"/>
    <w:rsid w:val="00A452AF"/>
    <w:rsid w:val="00A458ED"/>
    <w:rsid w:val="00A461C8"/>
    <w:rsid w:val="00A46C5C"/>
    <w:rsid w:val="00A46EBC"/>
    <w:rsid w:val="00A51FA1"/>
    <w:rsid w:val="00A52F40"/>
    <w:rsid w:val="00A52F5B"/>
    <w:rsid w:val="00A5475E"/>
    <w:rsid w:val="00A55A9C"/>
    <w:rsid w:val="00A55B1E"/>
    <w:rsid w:val="00A55B9A"/>
    <w:rsid w:val="00A569C1"/>
    <w:rsid w:val="00A6083D"/>
    <w:rsid w:val="00A6125E"/>
    <w:rsid w:val="00A6198E"/>
    <w:rsid w:val="00A645F0"/>
    <w:rsid w:val="00A6533B"/>
    <w:rsid w:val="00A6542B"/>
    <w:rsid w:val="00A65537"/>
    <w:rsid w:val="00A6589E"/>
    <w:rsid w:val="00A66D38"/>
    <w:rsid w:val="00A66EEC"/>
    <w:rsid w:val="00A70D85"/>
    <w:rsid w:val="00A7234B"/>
    <w:rsid w:val="00A74EDB"/>
    <w:rsid w:val="00A7682B"/>
    <w:rsid w:val="00A769FD"/>
    <w:rsid w:val="00A76F46"/>
    <w:rsid w:val="00A7713C"/>
    <w:rsid w:val="00A772DA"/>
    <w:rsid w:val="00A804CB"/>
    <w:rsid w:val="00A836FD"/>
    <w:rsid w:val="00A83A9F"/>
    <w:rsid w:val="00A83C41"/>
    <w:rsid w:val="00A84B19"/>
    <w:rsid w:val="00A85DD2"/>
    <w:rsid w:val="00A86771"/>
    <w:rsid w:val="00A902F2"/>
    <w:rsid w:val="00A9051D"/>
    <w:rsid w:val="00A91321"/>
    <w:rsid w:val="00A92372"/>
    <w:rsid w:val="00A93CB6"/>
    <w:rsid w:val="00A94563"/>
    <w:rsid w:val="00A946AF"/>
    <w:rsid w:val="00A94CBF"/>
    <w:rsid w:val="00A9517A"/>
    <w:rsid w:val="00A95D1A"/>
    <w:rsid w:val="00A970CF"/>
    <w:rsid w:val="00AA0597"/>
    <w:rsid w:val="00AA120A"/>
    <w:rsid w:val="00AA18E9"/>
    <w:rsid w:val="00AA5514"/>
    <w:rsid w:val="00AA7849"/>
    <w:rsid w:val="00AA7BDA"/>
    <w:rsid w:val="00AB0435"/>
    <w:rsid w:val="00AB05ED"/>
    <w:rsid w:val="00AB0A63"/>
    <w:rsid w:val="00AB1228"/>
    <w:rsid w:val="00AB1934"/>
    <w:rsid w:val="00AB49BA"/>
    <w:rsid w:val="00AB5E6E"/>
    <w:rsid w:val="00AB6601"/>
    <w:rsid w:val="00AC0007"/>
    <w:rsid w:val="00AC106B"/>
    <w:rsid w:val="00AC2638"/>
    <w:rsid w:val="00AC2995"/>
    <w:rsid w:val="00AC5362"/>
    <w:rsid w:val="00AC5C8D"/>
    <w:rsid w:val="00AC7A66"/>
    <w:rsid w:val="00AD2C9C"/>
    <w:rsid w:val="00AD4ADC"/>
    <w:rsid w:val="00AD6647"/>
    <w:rsid w:val="00AD69B1"/>
    <w:rsid w:val="00AD6EEB"/>
    <w:rsid w:val="00AD7137"/>
    <w:rsid w:val="00AE00BA"/>
    <w:rsid w:val="00AE2CAC"/>
    <w:rsid w:val="00AE6315"/>
    <w:rsid w:val="00AE653F"/>
    <w:rsid w:val="00AE73F9"/>
    <w:rsid w:val="00AE7C65"/>
    <w:rsid w:val="00AE7E90"/>
    <w:rsid w:val="00AF1811"/>
    <w:rsid w:val="00AF2377"/>
    <w:rsid w:val="00AF29F9"/>
    <w:rsid w:val="00AF66A9"/>
    <w:rsid w:val="00AF67CC"/>
    <w:rsid w:val="00AF68B7"/>
    <w:rsid w:val="00AF7060"/>
    <w:rsid w:val="00AF71DE"/>
    <w:rsid w:val="00AF77AE"/>
    <w:rsid w:val="00B013DD"/>
    <w:rsid w:val="00B02E3E"/>
    <w:rsid w:val="00B0468F"/>
    <w:rsid w:val="00B06A51"/>
    <w:rsid w:val="00B10629"/>
    <w:rsid w:val="00B1089F"/>
    <w:rsid w:val="00B10A13"/>
    <w:rsid w:val="00B11176"/>
    <w:rsid w:val="00B12EBC"/>
    <w:rsid w:val="00B13F57"/>
    <w:rsid w:val="00B141F4"/>
    <w:rsid w:val="00B147D7"/>
    <w:rsid w:val="00B14E40"/>
    <w:rsid w:val="00B1546E"/>
    <w:rsid w:val="00B165A5"/>
    <w:rsid w:val="00B16721"/>
    <w:rsid w:val="00B207E8"/>
    <w:rsid w:val="00B20AC4"/>
    <w:rsid w:val="00B219B1"/>
    <w:rsid w:val="00B21A81"/>
    <w:rsid w:val="00B27AD6"/>
    <w:rsid w:val="00B3212D"/>
    <w:rsid w:val="00B33883"/>
    <w:rsid w:val="00B34CFB"/>
    <w:rsid w:val="00B363D8"/>
    <w:rsid w:val="00B4242B"/>
    <w:rsid w:val="00B45743"/>
    <w:rsid w:val="00B46034"/>
    <w:rsid w:val="00B51A87"/>
    <w:rsid w:val="00B51BA1"/>
    <w:rsid w:val="00B5628D"/>
    <w:rsid w:val="00B569A6"/>
    <w:rsid w:val="00B56E21"/>
    <w:rsid w:val="00B5771A"/>
    <w:rsid w:val="00B66253"/>
    <w:rsid w:val="00B66742"/>
    <w:rsid w:val="00B67B0A"/>
    <w:rsid w:val="00B67BE8"/>
    <w:rsid w:val="00B70566"/>
    <w:rsid w:val="00B71477"/>
    <w:rsid w:val="00B7236F"/>
    <w:rsid w:val="00B736EC"/>
    <w:rsid w:val="00B7548A"/>
    <w:rsid w:val="00B75AFE"/>
    <w:rsid w:val="00B75B1E"/>
    <w:rsid w:val="00B75F2E"/>
    <w:rsid w:val="00B8289C"/>
    <w:rsid w:val="00B85A58"/>
    <w:rsid w:val="00B86F14"/>
    <w:rsid w:val="00B876B2"/>
    <w:rsid w:val="00B906BF"/>
    <w:rsid w:val="00B92788"/>
    <w:rsid w:val="00B937EA"/>
    <w:rsid w:val="00B95B24"/>
    <w:rsid w:val="00B95C3E"/>
    <w:rsid w:val="00B95F37"/>
    <w:rsid w:val="00B96D75"/>
    <w:rsid w:val="00B97FF9"/>
    <w:rsid w:val="00BA0AFB"/>
    <w:rsid w:val="00BA2213"/>
    <w:rsid w:val="00BA33D9"/>
    <w:rsid w:val="00BA46C4"/>
    <w:rsid w:val="00BA473D"/>
    <w:rsid w:val="00BA74B5"/>
    <w:rsid w:val="00BA79F9"/>
    <w:rsid w:val="00BB116E"/>
    <w:rsid w:val="00BB2785"/>
    <w:rsid w:val="00BB304E"/>
    <w:rsid w:val="00BB3065"/>
    <w:rsid w:val="00BB54E9"/>
    <w:rsid w:val="00BB56E6"/>
    <w:rsid w:val="00BB6EA0"/>
    <w:rsid w:val="00BB6F9C"/>
    <w:rsid w:val="00BB7C8A"/>
    <w:rsid w:val="00BC3C1F"/>
    <w:rsid w:val="00BC4248"/>
    <w:rsid w:val="00BC54AA"/>
    <w:rsid w:val="00BC58C0"/>
    <w:rsid w:val="00BC604F"/>
    <w:rsid w:val="00BC6F9D"/>
    <w:rsid w:val="00BD25C3"/>
    <w:rsid w:val="00BD4A48"/>
    <w:rsid w:val="00BD4A9B"/>
    <w:rsid w:val="00BD710A"/>
    <w:rsid w:val="00BD74ED"/>
    <w:rsid w:val="00BD7F10"/>
    <w:rsid w:val="00BE0847"/>
    <w:rsid w:val="00BE1365"/>
    <w:rsid w:val="00BE1753"/>
    <w:rsid w:val="00BE3FCE"/>
    <w:rsid w:val="00BE475B"/>
    <w:rsid w:val="00BE53A3"/>
    <w:rsid w:val="00BE6394"/>
    <w:rsid w:val="00BE7A48"/>
    <w:rsid w:val="00BF284D"/>
    <w:rsid w:val="00BF2B6C"/>
    <w:rsid w:val="00BF49A8"/>
    <w:rsid w:val="00BF6D4E"/>
    <w:rsid w:val="00C00704"/>
    <w:rsid w:val="00C0080A"/>
    <w:rsid w:val="00C04511"/>
    <w:rsid w:val="00C0725B"/>
    <w:rsid w:val="00C110AE"/>
    <w:rsid w:val="00C11F81"/>
    <w:rsid w:val="00C12ED9"/>
    <w:rsid w:val="00C132B5"/>
    <w:rsid w:val="00C13802"/>
    <w:rsid w:val="00C14274"/>
    <w:rsid w:val="00C14E1F"/>
    <w:rsid w:val="00C173C3"/>
    <w:rsid w:val="00C1787E"/>
    <w:rsid w:val="00C228F7"/>
    <w:rsid w:val="00C229A3"/>
    <w:rsid w:val="00C22EE9"/>
    <w:rsid w:val="00C2645B"/>
    <w:rsid w:val="00C2677D"/>
    <w:rsid w:val="00C26EE5"/>
    <w:rsid w:val="00C27C37"/>
    <w:rsid w:val="00C27C97"/>
    <w:rsid w:val="00C33625"/>
    <w:rsid w:val="00C351F4"/>
    <w:rsid w:val="00C3529A"/>
    <w:rsid w:val="00C35F3A"/>
    <w:rsid w:val="00C36EC5"/>
    <w:rsid w:val="00C41F62"/>
    <w:rsid w:val="00C42226"/>
    <w:rsid w:val="00C44A66"/>
    <w:rsid w:val="00C46ED8"/>
    <w:rsid w:val="00C46F7C"/>
    <w:rsid w:val="00C473F2"/>
    <w:rsid w:val="00C47694"/>
    <w:rsid w:val="00C505F2"/>
    <w:rsid w:val="00C53549"/>
    <w:rsid w:val="00C537A1"/>
    <w:rsid w:val="00C539A3"/>
    <w:rsid w:val="00C547B9"/>
    <w:rsid w:val="00C55ED1"/>
    <w:rsid w:val="00C57390"/>
    <w:rsid w:val="00C579DB"/>
    <w:rsid w:val="00C57B0F"/>
    <w:rsid w:val="00C60536"/>
    <w:rsid w:val="00C63B0F"/>
    <w:rsid w:val="00C64E7A"/>
    <w:rsid w:val="00C65CC0"/>
    <w:rsid w:val="00C669CB"/>
    <w:rsid w:val="00C66FF9"/>
    <w:rsid w:val="00C67DBB"/>
    <w:rsid w:val="00C73E9A"/>
    <w:rsid w:val="00C7687A"/>
    <w:rsid w:val="00C76FFA"/>
    <w:rsid w:val="00C8302D"/>
    <w:rsid w:val="00C844CD"/>
    <w:rsid w:val="00C86405"/>
    <w:rsid w:val="00C91414"/>
    <w:rsid w:val="00C91802"/>
    <w:rsid w:val="00C94FB3"/>
    <w:rsid w:val="00C95240"/>
    <w:rsid w:val="00CA132E"/>
    <w:rsid w:val="00CA176F"/>
    <w:rsid w:val="00CA267F"/>
    <w:rsid w:val="00CA2C03"/>
    <w:rsid w:val="00CA61F1"/>
    <w:rsid w:val="00CA7683"/>
    <w:rsid w:val="00CB0087"/>
    <w:rsid w:val="00CB39E1"/>
    <w:rsid w:val="00CB4EA8"/>
    <w:rsid w:val="00CB5B7C"/>
    <w:rsid w:val="00CB72E7"/>
    <w:rsid w:val="00CB7AB2"/>
    <w:rsid w:val="00CC0D17"/>
    <w:rsid w:val="00CC0E31"/>
    <w:rsid w:val="00CC11FA"/>
    <w:rsid w:val="00CC1671"/>
    <w:rsid w:val="00CC1F7B"/>
    <w:rsid w:val="00CC2362"/>
    <w:rsid w:val="00CC3653"/>
    <w:rsid w:val="00CC4F10"/>
    <w:rsid w:val="00CC5DCF"/>
    <w:rsid w:val="00CD09EE"/>
    <w:rsid w:val="00CD1B07"/>
    <w:rsid w:val="00CD1DE5"/>
    <w:rsid w:val="00CD1F50"/>
    <w:rsid w:val="00CD2105"/>
    <w:rsid w:val="00CD2F60"/>
    <w:rsid w:val="00CD37F3"/>
    <w:rsid w:val="00CD3AEE"/>
    <w:rsid w:val="00CD4641"/>
    <w:rsid w:val="00CD4A7F"/>
    <w:rsid w:val="00CD6368"/>
    <w:rsid w:val="00CD64B7"/>
    <w:rsid w:val="00CD79A2"/>
    <w:rsid w:val="00CD79F4"/>
    <w:rsid w:val="00CD7CF3"/>
    <w:rsid w:val="00CE1B87"/>
    <w:rsid w:val="00CE1D5E"/>
    <w:rsid w:val="00CE2F54"/>
    <w:rsid w:val="00CE51A8"/>
    <w:rsid w:val="00CE57D9"/>
    <w:rsid w:val="00CE7BA6"/>
    <w:rsid w:val="00CE7DBF"/>
    <w:rsid w:val="00CF105B"/>
    <w:rsid w:val="00CF1E97"/>
    <w:rsid w:val="00CF2434"/>
    <w:rsid w:val="00CF25AC"/>
    <w:rsid w:val="00CF40BB"/>
    <w:rsid w:val="00CF4E61"/>
    <w:rsid w:val="00CF7D7C"/>
    <w:rsid w:val="00CF7ED2"/>
    <w:rsid w:val="00D02074"/>
    <w:rsid w:val="00D020F5"/>
    <w:rsid w:val="00D03CF3"/>
    <w:rsid w:val="00D041A8"/>
    <w:rsid w:val="00D06064"/>
    <w:rsid w:val="00D064EC"/>
    <w:rsid w:val="00D06B40"/>
    <w:rsid w:val="00D07600"/>
    <w:rsid w:val="00D1201D"/>
    <w:rsid w:val="00D1364D"/>
    <w:rsid w:val="00D164F2"/>
    <w:rsid w:val="00D16546"/>
    <w:rsid w:val="00D172DB"/>
    <w:rsid w:val="00D216FF"/>
    <w:rsid w:val="00D24CED"/>
    <w:rsid w:val="00D25F50"/>
    <w:rsid w:val="00D26DA6"/>
    <w:rsid w:val="00D27173"/>
    <w:rsid w:val="00D27CD3"/>
    <w:rsid w:val="00D305A5"/>
    <w:rsid w:val="00D311D1"/>
    <w:rsid w:val="00D31B58"/>
    <w:rsid w:val="00D34D42"/>
    <w:rsid w:val="00D34D4B"/>
    <w:rsid w:val="00D35453"/>
    <w:rsid w:val="00D35C87"/>
    <w:rsid w:val="00D416AE"/>
    <w:rsid w:val="00D4192E"/>
    <w:rsid w:val="00D42279"/>
    <w:rsid w:val="00D4590B"/>
    <w:rsid w:val="00D45A62"/>
    <w:rsid w:val="00D46B10"/>
    <w:rsid w:val="00D472A0"/>
    <w:rsid w:val="00D52EC3"/>
    <w:rsid w:val="00D53D58"/>
    <w:rsid w:val="00D5412D"/>
    <w:rsid w:val="00D54F9E"/>
    <w:rsid w:val="00D56E6D"/>
    <w:rsid w:val="00D57865"/>
    <w:rsid w:val="00D603AC"/>
    <w:rsid w:val="00D619FE"/>
    <w:rsid w:val="00D649E5"/>
    <w:rsid w:val="00D64B30"/>
    <w:rsid w:val="00D658F2"/>
    <w:rsid w:val="00D663E6"/>
    <w:rsid w:val="00D66FBE"/>
    <w:rsid w:val="00D71B07"/>
    <w:rsid w:val="00D72ECE"/>
    <w:rsid w:val="00D75095"/>
    <w:rsid w:val="00D75290"/>
    <w:rsid w:val="00D75631"/>
    <w:rsid w:val="00D75C2A"/>
    <w:rsid w:val="00D75DEB"/>
    <w:rsid w:val="00D7638A"/>
    <w:rsid w:val="00D76CBC"/>
    <w:rsid w:val="00D8088F"/>
    <w:rsid w:val="00D83E2E"/>
    <w:rsid w:val="00D84A51"/>
    <w:rsid w:val="00D8650E"/>
    <w:rsid w:val="00D865DC"/>
    <w:rsid w:val="00D86758"/>
    <w:rsid w:val="00D86E22"/>
    <w:rsid w:val="00D87939"/>
    <w:rsid w:val="00D87DAF"/>
    <w:rsid w:val="00D914B2"/>
    <w:rsid w:val="00D91624"/>
    <w:rsid w:val="00D91C28"/>
    <w:rsid w:val="00D930A8"/>
    <w:rsid w:val="00D93818"/>
    <w:rsid w:val="00D9498E"/>
    <w:rsid w:val="00D96A0A"/>
    <w:rsid w:val="00D97C10"/>
    <w:rsid w:val="00DA1CE5"/>
    <w:rsid w:val="00DA2E25"/>
    <w:rsid w:val="00DA60AA"/>
    <w:rsid w:val="00DA6896"/>
    <w:rsid w:val="00DA7695"/>
    <w:rsid w:val="00DB09C1"/>
    <w:rsid w:val="00DB34A1"/>
    <w:rsid w:val="00DB669F"/>
    <w:rsid w:val="00DB77BF"/>
    <w:rsid w:val="00DB7AA4"/>
    <w:rsid w:val="00DC164E"/>
    <w:rsid w:val="00DC3953"/>
    <w:rsid w:val="00DC454B"/>
    <w:rsid w:val="00DC4F94"/>
    <w:rsid w:val="00DC50DB"/>
    <w:rsid w:val="00DC55A5"/>
    <w:rsid w:val="00DC60C0"/>
    <w:rsid w:val="00DD40E2"/>
    <w:rsid w:val="00DD504F"/>
    <w:rsid w:val="00DD5444"/>
    <w:rsid w:val="00DD5C5A"/>
    <w:rsid w:val="00DD5FC2"/>
    <w:rsid w:val="00DD6D6C"/>
    <w:rsid w:val="00DD6F6D"/>
    <w:rsid w:val="00DD7302"/>
    <w:rsid w:val="00DE1B3F"/>
    <w:rsid w:val="00DE3248"/>
    <w:rsid w:val="00DE3512"/>
    <w:rsid w:val="00DE38A9"/>
    <w:rsid w:val="00DE3921"/>
    <w:rsid w:val="00DE4878"/>
    <w:rsid w:val="00DE5A76"/>
    <w:rsid w:val="00DE6775"/>
    <w:rsid w:val="00DE7EBB"/>
    <w:rsid w:val="00DF0B01"/>
    <w:rsid w:val="00DF5F47"/>
    <w:rsid w:val="00DF6E3B"/>
    <w:rsid w:val="00DF7E22"/>
    <w:rsid w:val="00E012C2"/>
    <w:rsid w:val="00E03C08"/>
    <w:rsid w:val="00E06063"/>
    <w:rsid w:val="00E07F19"/>
    <w:rsid w:val="00E10364"/>
    <w:rsid w:val="00E12E9F"/>
    <w:rsid w:val="00E17353"/>
    <w:rsid w:val="00E17A5E"/>
    <w:rsid w:val="00E22CFE"/>
    <w:rsid w:val="00E23857"/>
    <w:rsid w:val="00E23C6D"/>
    <w:rsid w:val="00E24A5C"/>
    <w:rsid w:val="00E261E2"/>
    <w:rsid w:val="00E26B8A"/>
    <w:rsid w:val="00E2727D"/>
    <w:rsid w:val="00E30B29"/>
    <w:rsid w:val="00E30B7C"/>
    <w:rsid w:val="00E339AB"/>
    <w:rsid w:val="00E33EB3"/>
    <w:rsid w:val="00E344D0"/>
    <w:rsid w:val="00E34A8F"/>
    <w:rsid w:val="00E351A9"/>
    <w:rsid w:val="00E357E0"/>
    <w:rsid w:val="00E35DF6"/>
    <w:rsid w:val="00E35FDB"/>
    <w:rsid w:val="00E3744D"/>
    <w:rsid w:val="00E37D99"/>
    <w:rsid w:val="00E44B48"/>
    <w:rsid w:val="00E460B8"/>
    <w:rsid w:val="00E46731"/>
    <w:rsid w:val="00E46FA5"/>
    <w:rsid w:val="00E4748F"/>
    <w:rsid w:val="00E50B1B"/>
    <w:rsid w:val="00E50D05"/>
    <w:rsid w:val="00E50DFC"/>
    <w:rsid w:val="00E50F6D"/>
    <w:rsid w:val="00E512FF"/>
    <w:rsid w:val="00E5224D"/>
    <w:rsid w:val="00E54006"/>
    <w:rsid w:val="00E54B4C"/>
    <w:rsid w:val="00E55D11"/>
    <w:rsid w:val="00E56D99"/>
    <w:rsid w:val="00E6118E"/>
    <w:rsid w:val="00E61428"/>
    <w:rsid w:val="00E64145"/>
    <w:rsid w:val="00E67597"/>
    <w:rsid w:val="00E70B55"/>
    <w:rsid w:val="00E70E8B"/>
    <w:rsid w:val="00E712D2"/>
    <w:rsid w:val="00E71B02"/>
    <w:rsid w:val="00E72768"/>
    <w:rsid w:val="00E73A21"/>
    <w:rsid w:val="00E73CDA"/>
    <w:rsid w:val="00E73F8B"/>
    <w:rsid w:val="00E74D6F"/>
    <w:rsid w:val="00E756A5"/>
    <w:rsid w:val="00E75E49"/>
    <w:rsid w:val="00E76245"/>
    <w:rsid w:val="00E7747A"/>
    <w:rsid w:val="00E77532"/>
    <w:rsid w:val="00E77C88"/>
    <w:rsid w:val="00E809F2"/>
    <w:rsid w:val="00E82A3F"/>
    <w:rsid w:val="00E86B04"/>
    <w:rsid w:val="00E86C28"/>
    <w:rsid w:val="00E87670"/>
    <w:rsid w:val="00E920E1"/>
    <w:rsid w:val="00E93030"/>
    <w:rsid w:val="00E93D53"/>
    <w:rsid w:val="00E94488"/>
    <w:rsid w:val="00E94714"/>
    <w:rsid w:val="00E94BA2"/>
    <w:rsid w:val="00E95B86"/>
    <w:rsid w:val="00E96597"/>
    <w:rsid w:val="00E9706E"/>
    <w:rsid w:val="00EA07E0"/>
    <w:rsid w:val="00EA63BA"/>
    <w:rsid w:val="00EB0263"/>
    <w:rsid w:val="00EB1AD8"/>
    <w:rsid w:val="00EB2D5B"/>
    <w:rsid w:val="00EB3E46"/>
    <w:rsid w:val="00EB45A6"/>
    <w:rsid w:val="00EB5A27"/>
    <w:rsid w:val="00EC168B"/>
    <w:rsid w:val="00EC28C6"/>
    <w:rsid w:val="00EC4922"/>
    <w:rsid w:val="00ED170D"/>
    <w:rsid w:val="00ED4207"/>
    <w:rsid w:val="00ED595F"/>
    <w:rsid w:val="00ED689C"/>
    <w:rsid w:val="00EE03C2"/>
    <w:rsid w:val="00EE060D"/>
    <w:rsid w:val="00EE3443"/>
    <w:rsid w:val="00EE55AB"/>
    <w:rsid w:val="00EF116D"/>
    <w:rsid w:val="00EF18C3"/>
    <w:rsid w:val="00EF1CD9"/>
    <w:rsid w:val="00EF2BC7"/>
    <w:rsid w:val="00EF3E95"/>
    <w:rsid w:val="00EF4BC6"/>
    <w:rsid w:val="00EF5357"/>
    <w:rsid w:val="00EF5A70"/>
    <w:rsid w:val="00EF6F03"/>
    <w:rsid w:val="00F00CA8"/>
    <w:rsid w:val="00F00D1F"/>
    <w:rsid w:val="00F0202B"/>
    <w:rsid w:val="00F026CB"/>
    <w:rsid w:val="00F033F0"/>
    <w:rsid w:val="00F04A47"/>
    <w:rsid w:val="00F05774"/>
    <w:rsid w:val="00F07986"/>
    <w:rsid w:val="00F11708"/>
    <w:rsid w:val="00F117E9"/>
    <w:rsid w:val="00F11BD5"/>
    <w:rsid w:val="00F12829"/>
    <w:rsid w:val="00F12F5B"/>
    <w:rsid w:val="00F12F71"/>
    <w:rsid w:val="00F1324B"/>
    <w:rsid w:val="00F159D8"/>
    <w:rsid w:val="00F17D41"/>
    <w:rsid w:val="00F20D9D"/>
    <w:rsid w:val="00F21D82"/>
    <w:rsid w:val="00F234BE"/>
    <w:rsid w:val="00F24DA1"/>
    <w:rsid w:val="00F263AE"/>
    <w:rsid w:val="00F27308"/>
    <w:rsid w:val="00F30329"/>
    <w:rsid w:val="00F30FFB"/>
    <w:rsid w:val="00F35903"/>
    <w:rsid w:val="00F37410"/>
    <w:rsid w:val="00F379DF"/>
    <w:rsid w:val="00F4233A"/>
    <w:rsid w:val="00F42468"/>
    <w:rsid w:val="00F478F6"/>
    <w:rsid w:val="00F505BD"/>
    <w:rsid w:val="00F5078F"/>
    <w:rsid w:val="00F53504"/>
    <w:rsid w:val="00F537AB"/>
    <w:rsid w:val="00F538E9"/>
    <w:rsid w:val="00F56282"/>
    <w:rsid w:val="00F56432"/>
    <w:rsid w:val="00F57C25"/>
    <w:rsid w:val="00F57C87"/>
    <w:rsid w:val="00F60B15"/>
    <w:rsid w:val="00F6122F"/>
    <w:rsid w:val="00F6221C"/>
    <w:rsid w:val="00F63736"/>
    <w:rsid w:val="00F642D7"/>
    <w:rsid w:val="00F66386"/>
    <w:rsid w:val="00F708A4"/>
    <w:rsid w:val="00F708F1"/>
    <w:rsid w:val="00F70D2A"/>
    <w:rsid w:val="00F752B7"/>
    <w:rsid w:val="00F7550F"/>
    <w:rsid w:val="00F77C0D"/>
    <w:rsid w:val="00F80AA3"/>
    <w:rsid w:val="00F8141D"/>
    <w:rsid w:val="00F82150"/>
    <w:rsid w:val="00F8239D"/>
    <w:rsid w:val="00F825B2"/>
    <w:rsid w:val="00F82E93"/>
    <w:rsid w:val="00F85532"/>
    <w:rsid w:val="00F860DB"/>
    <w:rsid w:val="00F86F6E"/>
    <w:rsid w:val="00F9100F"/>
    <w:rsid w:val="00F916A9"/>
    <w:rsid w:val="00F92606"/>
    <w:rsid w:val="00F94805"/>
    <w:rsid w:val="00F95151"/>
    <w:rsid w:val="00F9620F"/>
    <w:rsid w:val="00F9761D"/>
    <w:rsid w:val="00FA00F4"/>
    <w:rsid w:val="00FA07D5"/>
    <w:rsid w:val="00FA2135"/>
    <w:rsid w:val="00FA2AD4"/>
    <w:rsid w:val="00FA36DF"/>
    <w:rsid w:val="00FA36F8"/>
    <w:rsid w:val="00FA4A4C"/>
    <w:rsid w:val="00FA5339"/>
    <w:rsid w:val="00FA54E1"/>
    <w:rsid w:val="00FA5913"/>
    <w:rsid w:val="00FA5D82"/>
    <w:rsid w:val="00FA7127"/>
    <w:rsid w:val="00FA7A01"/>
    <w:rsid w:val="00FB4AC1"/>
    <w:rsid w:val="00FB4E0D"/>
    <w:rsid w:val="00FB55F2"/>
    <w:rsid w:val="00FB6157"/>
    <w:rsid w:val="00FB70EB"/>
    <w:rsid w:val="00FC05EC"/>
    <w:rsid w:val="00FC0EA0"/>
    <w:rsid w:val="00FC28EA"/>
    <w:rsid w:val="00FC2B79"/>
    <w:rsid w:val="00FC34CD"/>
    <w:rsid w:val="00FC3812"/>
    <w:rsid w:val="00FC4CE2"/>
    <w:rsid w:val="00FC55A4"/>
    <w:rsid w:val="00FC5E7B"/>
    <w:rsid w:val="00FC64A6"/>
    <w:rsid w:val="00FC7A8A"/>
    <w:rsid w:val="00FC7EA8"/>
    <w:rsid w:val="00FD2691"/>
    <w:rsid w:val="00FD287B"/>
    <w:rsid w:val="00FD39C6"/>
    <w:rsid w:val="00FD4671"/>
    <w:rsid w:val="00FD600A"/>
    <w:rsid w:val="00FD6EBC"/>
    <w:rsid w:val="00FD7407"/>
    <w:rsid w:val="00FE0526"/>
    <w:rsid w:val="00FE166F"/>
    <w:rsid w:val="00FE2E99"/>
    <w:rsid w:val="00FE33A7"/>
    <w:rsid w:val="00FE56FC"/>
    <w:rsid w:val="00FE6AEC"/>
    <w:rsid w:val="00FE6D67"/>
    <w:rsid w:val="00FE77D6"/>
    <w:rsid w:val="00FF1EB5"/>
    <w:rsid w:val="00FF3574"/>
    <w:rsid w:val="00FF5957"/>
    <w:rsid w:val="15F7695F"/>
    <w:rsid w:val="1D2A5B84"/>
    <w:rsid w:val="27FC21B3"/>
    <w:rsid w:val="353B5088"/>
    <w:rsid w:val="445358E8"/>
    <w:rsid w:val="498A74C3"/>
    <w:rsid w:val="4B6E6BB9"/>
    <w:rsid w:val="5CA9593C"/>
    <w:rsid w:val="65DC40B1"/>
    <w:rsid w:val="727619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1"/>
    <w:qFormat/>
    <w:uiPriority w:val="0"/>
    <w:pPr>
      <w:keepNext/>
      <w:outlineLvl w:val="1"/>
    </w:pPr>
    <w:rPr>
      <w:sz w:val="28"/>
    </w:rPr>
  </w:style>
  <w:style w:type="paragraph" w:styleId="3">
    <w:name w:val="heading 3"/>
    <w:basedOn w:val="1"/>
    <w:next w:val="1"/>
    <w:link w:val="31"/>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35"/>
    <w:qFormat/>
    <w:uiPriority w:val="0"/>
    <w:pPr>
      <w:ind w:firstLine="420" w:firstLineChars="200"/>
    </w:pPr>
    <w:rPr>
      <w:szCs w:val="21"/>
    </w:rPr>
  </w:style>
  <w:style w:type="paragraph" w:styleId="5">
    <w:name w:val="toc 3"/>
    <w:basedOn w:val="1"/>
    <w:next w:val="1"/>
    <w:unhideWhenUsed/>
    <w:qFormat/>
    <w:uiPriority w:val="39"/>
    <w:pPr>
      <w:ind w:left="840" w:leftChars="400"/>
    </w:pPr>
  </w:style>
  <w:style w:type="paragraph" w:styleId="6">
    <w:name w:val="Date"/>
    <w:basedOn w:val="1"/>
    <w:next w:val="1"/>
    <w:link w:val="30"/>
    <w:semiHidden/>
    <w:unhideWhenUsed/>
    <w:qFormat/>
    <w:uiPriority w:val="99"/>
    <w:pPr>
      <w:ind w:left="100" w:leftChars="2500"/>
    </w:pPr>
  </w:style>
  <w:style w:type="paragraph" w:styleId="7">
    <w:name w:val="Balloon Text"/>
    <w:basedOn w:val="1"/>
    <w:link w:val="28"/>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before="120" w:after="120"/>
      <w:jc w:val="left"/>
    </w:pPr>
    <w:rPr>
      <w:rFonts w:ascii="Calibri" w:hAnsi="Calibri"/>
      <w:b/>
      <w:bCs/>
      <w:caps/>
      <w:sz w:val="20"/>
      <w:szCs w:val="20"/>
    </w:rPr>
  </w:style>
  <w:style w:type="paragraph" w:styleId="11">
    <w:name w:val="toc 2"/>
    <w:basedOn w:val="1"/>
    <w:next w:val="1"/>
    <w:qFormat/>
    <w:uiPriority w:val="39"/>
    <w:pPr>
      <w:ind w:left="210"/>
      <w:jc w:val="left"/>
    </w:pPr>
    <w:rPr>
      <w:rFonts w:ascii="Calibri" w:hAnsi="Calibri"/>
      <w:smallCaps/>
      <w:sz w:val="20"/>
      <w:szCs w:val="20"/>
    </w:r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Title"/>
    <w:basedOn w:val="1"/>
    <w:link w:val="23"/>
    <w:qFormat/>
    <w:uiPriority w:val="99"/>
    <w:pPr>
      <w:spacing w:before="240" w:after="60"/>
      <w:jc w:val="center"/>
      <w:outlineLvl w:val="0"/>
    </w:pPr>
    <w:rPr>
      <w:rFonts w:ascii="Arial" w:hAnsi="Arial" w:cs="Arial"/>
      <w:b/>
      <w:bCs/>
      <w:sz w:val="32"/>
      <w:szCs w:val="32"/>
    </w:rPr>
  </w:style>
  <w:style w:type="table" w:styleId="15">
    <w:name w:val="Table Grid"/>
    <w:basedOn w:val="14"/>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customStyle="1" w:styleId="18">
    <w:name w:val="页眉 字符"/>
    <w:basedOn w:val="16"/>
    <w:link w:val="9"/>
    <w:qFormat/>
    <w:uiPriority w:val="99"/>
    <w:rPr>
      <w:sz w:val="18"/>
      <w:szCs w:val="18"/>
    </w:rPr>
  </w:style>
  <w:style w:type="character" w:customStyle="1" w:styleId="19">
    <w:name w:val="页脚 字符"/>
    <w:basedOn w:val="16"/>
    <w:link w:val="8"/>
    <w:qFormat/>
    <w:uiPriority w:val="99"/>
    <w:rPr>
      <w:sz w:val="18"/>
      <w:szCs w:val="18"/>
    </w:rPr>
  </w:style>
  <w:style w:type="character" w:customStyle="1" w:styleId="20">
    <w:name w:val="标题 2 字符"/>
    <w:basedOn w:val="16"/>
    <w:semiHidden/>
    <w:qFormat/>
    <w:uiPriority w:val="9"/>
    <w:rPr>
      <w:rFonts w:asciiTheme="majorHAnsi" w:hAnsiTheme="majorHAnsi" w:eastAsiaTheme="majorEastAsia" w:cstheme="majorBidi"/>
      <w:b/>
      <w:bCs/>
      <w:sz w:val="32"/>
      <w:szCs w:val="32"/>
    </w:rPr>
  </w:style>
  <w:style w:type="character" w:customStyle="1" w:styleId="21">
    <w:name w:val="标题 2 字符1"/>
    <w:link w:val="2"/>
    <w:qFormat/>
    <w:uiPriority w:val="0"/>
    <w:rPr>
      <w:rFonts w:ascii="Times New Roman" w:hAnsi="Times New Roman" w:eastAsia="宋体" w:cs="Times New Roman"/>
      <w:sz w:val="28"/>
      <w:szCs w:val="24"/>
    </w:rPr>
  </w:style>
  <w:style w:type="character" w:customStyle="1" w:styleId="22">
    <w:name w:val="标题 字符"/>
    <w:basedOn w:val="16"/>
    <w:qFormat/>
    <w:uiPriority w:val="99"/>
    <w:rPr>
      <w:rFonts w:asciiTheme="majorHAnsi" w:hAnsiTheme="majorHAnsi" w:eastAsiaTheme="majorEastAsia" w:cstheme="majorBidi"/>
      <w:b/>
      <w:bCs/>
      <w:sz w:val="32"/>
      <w:szCs w:val="32"/>
    </w:rPr>
  </w:style>
  <w:style w:type="character" w:customStyle="1" w:styleId="23">
    <w:name w:val="标题 字符1"/>
    <w:link w:val="13"/>
    <w:qFormat/>
    <w:uiPriority w:val="99"/>
    <w:rPr>
      <w:rFonts w:ascii="Arial" w:hAnsi="Arial" w:eastAsia="宋体" w:cs="Arial"/>
      <w:b/>
      <w:bCs/>
      <w:sz w:val="32"/>
      <w:szCs w:val="32"/>
    </w:rPr>
  </w:style>
  <w:style w:type="character" w:customStyle="1" w:styleId="24">
    <w:name w:val="页脚 Char"/>
    <w:qFormat/>
    <w:uiPriority w:val="99"/>
    <w:rPr>
      <w:rFonts w:eastAsia="宋体"/>
      <w:kern w:val="2"/>
      <w:sz w:val="18"/>
      <w:szCs w:val="18"/>
      <w:lang w:val="en-US" w:eastAsia="zh-CN" w:bidi="ar-SA"/>
    </w:rPr>
  </w:style>
  <w:style w:type="paragraph" w:customStyle="1" w:styleId="25">
    <w:name w:val="样式2"/>
    <w:basedOn w:val="1"/>
    <w:qFormat/>
    <w:uiPriority w:val="0"/>
    <w:pPr>
      <w:adjustRightInd w:val="0"/>
      <w:snapToGrid w:val="0"/>
      <w:spacing w:line="480" w:lineRule="auto"/>
      <w:ind w:firstLine="482"/>
      <w:jc w:val="center"/>
      <w:textAlignment w:val="baseline"/>
    </w:pPr>
    <w:rPr>
      <w:rFonts w:eastAsia="幼圆"/>
      <w:spacing w:val="12"/>
      <w:kern w:val="24"/>
      <w:sz w:val="24"/>
      <w:szCs w:val="20"/>
    </w:rPr>
  </w:style>
  <w:style w:type="paragraph" w:styleId="26">
    <w:name w:val="List Paragraph"/>
    <w:basedOn w:val="1"/>
    <w:qFormat/>
    <w:uiPriority w:val="34"/>
    <w:pPr>
      <w:ind w:firstLine="420" w:firstLineChars="200"/>
    </w:pPr>
  </w:style>
  <w:style w:type="table" w:customStyle="1" w:styleId="27">
    <w:name w:val="网格型1"/>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批注框文本 字符"/>
    <w:basedOn w:val="16"/>
    <w:link w:val="7"/>
    <w:semiHidden/>
    <w:qFormat/>
    <w:uiPriority w:val="99"/>
    <w:rPr>
      <w:rFonts w:ascii="Times New Roman" w:hAnsi="Times New Roman" w:eastAsia="宋体" w:cs="Times New Roman"/>
      <w:sz w:val="18"/>
      <w:szCs w:val="18"/>
    </w:rPr>
  </w:style>
  <w:style w:type="paragraph" w:customStyle="1" w:styleId="29">
    <w:name w:val="列出段落1"/>
    <w:basedOn w:val="1"/>
    <w:qFormat/>
    <w:uiPriority w:val="0"/>
    <w:pPr>
      <w:ind w:firstLine="420" w:firstLineChars="200"/>
    </w:pPr>
    <w:rPr>
      <w:szCs w:val="21"/>
    </w:rPr>
  </w:style>
  <w:style w:type="character" w:customStyle="1" w:styleId="30">
    <w:name w:val="日期 字符"/>
    <w:basedOn w:val="16"/>
    <w:link w:val="6"/>
    <w:semiHidden/>
    <w:qFormat/>
    <w:uiPriority w:val="99"/>
    <w:rPr>
      <w:rFonts w:ascii="Times New Roman" w:hAnsi="Times New Roman" w:eastAsia="宋体" w:cs="Times New Roman"/>
      <w:szCs w:val="24"/>
    </w:rPr>
  </w:style>
  <w:style w:type="character" w:customStyle="1" w:styleId="31">
    <w:name w:val="标题 3 字符"/>
    <w:basedOn w:val="16"/>
    <w:link w:val="3"/>
    <w:semiHidden/>
    <w:qFormat/>
    <w:uiPriority w:val="9"/>
    <w:rPr>
      <w:rFonts w:ascii="Times New Roman" w:hAnsi="Times New Roman" w:eastAsia="宋体" w:cs="Times New Roman"/>
      <w:b/>
      <w:bCs/>
      <w:sz w:val="32"/>
      <w:szCs w:val="32"/>
    </w:rPr>
  </w:style>
  <w:style w:type="paragraph" w:customStyle="1" w:styleId="32">
    <w:name w:val="内容"/>
    <w:basedOn w:val="1"/>
    <w:qFormat/>
    <w:uiPriority w:val="0"/>
    <w:pPr>
      <w:spacing w:afterLines="50" w:line="264" w:lineRule="auto"/>
      <w:ind w:firstLine="420" w:firstLineChars="200"/>
    </w:pPr>
    <w:rPr>
      <w:szCs w:val="21"/>
    </w:rPr>
  </w:style>
  <w:style w:type="paragraph" w:customStyle="1" w:styleId="33">
    <w:name w:val="样式 首行缩进:  2 字符"/>
    <w:basedOn w:val="1"/>
    <w:link w:val="34"/>
    <w:qFormat/>
    <w:uiPriority w:val="0"/>
    <w:pPr>
      <w:spacing w:line="360" w:lineRule="auto"/>
      <w:ind w:firstLine="480" w:firstLineChars="200"/>
      <w:jc w:val="left"/>
    </w:pPr>
    <w:rPr>
      <w:rFonts w:ascii="Calibri" w:hAnsi="Calibri"/>
      <w:sz w:val="24"/>
      <w:szCs w:val="20"/>
    </w:rPr>
  </w:style>
  <w:style w:type="character" w:customStyle="1" w:styleId="34">
    <w:name w:val="样式 首行缩进:  2 字符 Char"/>
    <w:link w:val="33"/>
    <w:qFormat/>
    <w:uiPriority w:val="0"/>
    <w:rPr>
      <w:rFonts w:ascii="Calibri" w:hAnsi="Calibri" w:eastAsia="宋体" w:cs="Times New Roman"/>
      <w:kern w:val="2"/>
      <w:sz w:val="24"/>
    </w:rPr>
  </w:style>
  <w:style w:type="character" w:customStyle="1" w:styleId="35">
    <w:name w:val="正文缩进 字符"/>
    <w:link w:val="4"/>
    <w:qFormat/>
    <w:locked/>
    <w:uiPriority w:val="0"/>
    <w:rPr>
      <w:rFonts w:ascii="Times New Roman" w:hAnsi="Times New Roman" w:eastAsia="宋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614367-3639-4E1A-8F22-AB806264CE06}">
  <ds:schemaRefs/>
</ds:datastoreItem>
</file>

<file path=docProps/app.xml><?xml version="1.0" encoding="utf-8"?>
<Properties xmlns="http://schemas.openxmlformats.org/officeDocument/2006/extended-properties" xmlns:vt="http://schemas.openxmlformats.org/officeDocument/2006/docPropsVTypes">
  <Template>Normal.dotm</Template>
  <Company>ZS</Company>
  <Pages>15</Pages>
  <Words>896</Words>
  <Characters>5110</Characters>
  <Lines>42</Lines>
  <Paragraphs>11</Paragraphs>
  <TotalTime>302</TotalTime>
  <ScaleCrop>false</ScaleCrop>
  <LinksUpToDate>false</LinksUpToDate>
  <CharactersWithSpaces>5995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2019-04-15T03:33:00Z</dcterms:created>
  <dc:creator>i</dc:creator>
  <cp:lastModifiedBy>Administrator</cp:lastModifiedBy>
  <cp:lastPrinted>2020-11-13T02:06:00Z</cp:lastPrinted>
  <dcterms:modified xsi:type="dcterms:W3CDTF">2020-11-13T02:36:30Z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